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6"/>
        <w:gridCol w:w="5383"/>
      </w:tblGrid>
      <w:tr w:rsidR="007A54FE" w:rsidRPr="0047280F" w14:paraId="343AFB30" w14:textId="77777777" w:rsidTr="00DB1B85">
        <w:trPr>
          <w:trHeight w:val="44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3BB6F7B" w14:textId="77777777" w:rsidR="007A54FE" w:rsidRPr="0047280F" w:rsidRDefault="007A54FE" w:rsidP="00FB553D">
            <w:pPr>
              <w:spacing w:before="120"/>
              <w:rPr>
                <w:b/>
                <w:sz w:val="28"/>
                <w:szCs w:val="28"/>
              </w:rPr>
            </w:pPr>
            <w:r w:rsidRPr="0047280F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48B07310" w14:textId="24318538" w:rsidR="007A54FE" w:rsidRPr="0047280F" w:rsidRDefault="00DB1B85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Pravidlá riadenia osobných financií</w:t>
            </w:r>
          </w:p>
        </w:tc>
      </w:tr>
      <w:tr w:rsidR="007A54FE" w:rsidRPr="0047280F" w14:paraId="4F8FE5D7" w14:textId="77777777" w:rsidTr="00DB1B85">
        <w:trPr>
          <w:trHeight w:val="38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5C33A20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Kód predmetu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3D99C7B9" w14:textId="0B549ECE" w:rsidR="007A54FE" w:rsidRPr="0047280F" w:rsidRDefault="003A0FC4" w:rsidP="00FB553D">
            <w:r w:rsidRPr="003A0FC4">
              <w:t>U_18_PBF_KAD</w:t>
            </w:r>
          </w:p>
        </w:tc>
      </w:tr>
      <w:tr w:rsidR="007A54FE" w:rsidRPr="0047280F" w14:paraId="345A86EC" w14:textId="77777777" w:rsidTr="00DB1B85">
        <w:trPr>
          <w:trHeight w:val="391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5E713694" w14:textId="77777777" w:rsidR="007A54FE" w:rsidRPr="0047280F" w:rsidRDefault="007A54FE" w:rsidP="00FB553D">
            <w:pPr>
              <w:rPr>
                <w:b/>
              </w:rPr>
            </w:pPr>
            <w:r w:rsidRPr="0047280F">
              <w:rPr>
                <w:b/>
              </w:rPr>
              <w:t>Časový rozsah výučby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47C4ED" w14:textId="18B13AB1" w:rsidR="007A54FE" w:rsidRPr="0047280F" w:rsidRDefault="003A0FC4" w:rsidP="00FB553D">
            <w:r>
              <w:t>0,5</w:t>
            </w:r>
            <w:r w:rsidR="007A54FE" w:rsidRPr="0047280F">
              <w:t>/</w:t>
            </w:r>
            <w:r w:rsidR="00DB1B85">
              <w:t>0</w:t>
            </w:r>
            <w:r>
              <w:t>,5/0</w:t>
            </w:r>
          </w:p>
        </w:tc>
      </w:tr>
      <w:tr w:rsidR="003A0FC4" w:rsidRPr="0047280F" w14:paraId="4403F1FA" w14:textId="77777777" w:rsidTr="003A0FC4">
        <w:trPr>
          <w:trHeight w:val="507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</w:tcPr>
          <w:p w14:paraId="0FF6E8E0" w14:textId="77777777" w:rsidR="003A0FC4" w:rsidRPr="0047280F" w:rsidRDefault="003A0FC4" w:rsidP="003A0FC4">
            <w:pPr>
              <w:rPr>
                <w:b/>
              </w:rPr>
            </w:pPr>
            <w:r w:rsidRPr="0047280F">
              <w:rPr>
                <w:b/>
              </w:rPr>
              <w:t xml:space="preserve">Kód a názov </w:t>
            </w:r>
            <w:r>
              <w:rPr>
                <w:b/>
              </w:rPr>
              <w:t>študijného od</w:t>
            </w:r>
            <w:r w:rsidRPr="0047280F">
              <w:rPr>
                <w:b/>
              </w:rPr>
              <w:t>boru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6C8E4F1" w14:textId="1E8A92A5" w:rsidR="003A0FC4" w:rsidRPr="0047280F" w:rsidRDefault="003A0FC4" w:rsidP="003A0FC4">
            <w:r w:rsidRPr="003A0FC4">
              <w:t>6456 H kaderník/kaderníčka</w:t>
            </w:r>
          </w:p>
        </w:tc>
      </w:tr>
      <w:tr w:rsidR="003A0FC4" w:rsidRPr="0047280F" w14:paraId="1717ACFB" w14:textId="77777777" w:rsidTr="00DB1B85">
        <w:trPr>
          <w:trHeight w:val="366"/>
        </w:trPr>
        <w:tc>
          <w:tcPr>
            <w:tcW w:w="3406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FF" w:themeFill="background1"/>
            <w:vAlign w:val="center"/>
          </w:tcPr>
          <w:p w14:paraId="6666EA65" w14:textId="77777777" w:rsidR="003A0FC4" w:rsidRPr="0047280F" w:rsidRDefault="003A0FC4" w:rsidP="003A0FC4">
            <w:pPr>
              <w:rPr>
                <w:b/>
              </w:rPr>
            </w:pPr>
            <w:r w:rsidRPr="0047280F">
              <w:rPr>
                <w:b/>
              </w:rPr>
              <w:t>Vyučovací jazyk</w:t>
            </w:r>
          </w:p>
        </w:tc>
        <w:tc>
          <w:tcPr>
            <w:tcW w:w="538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153B1815" w14:textId="77777777" w:rsidR="003A0FC4" w:rsidRPr="0047280F" w:rsidRDefault="003A0FC4" w:rsidP="003A0FC4">
            <w:r w:rsidRPr="0047280F">
              <w:t>slovenský jazyk</w:t>
            </w:r>
          </w:p>
        </w:tc>
      </w:tr>
    </w:tbl>
    <w:p w14:paraId="0253DA60" w14:textId="77777777" w:rsidR="00445BD3" w:rsidRDefault="00445BD3"/>
    <w:p w14:paraId="65ED4966" w14:textId="77777777" w:rsidR="007A54FE" w:rsidRDefault="007A54FE" w:rsidP="00A359A7">
      <w:pPr>
        <w:pStyle w:val="Nadpis1"/>
        <w:numPr>
          <w:ilvl w:val="0"/>
          <w:numId w:val="20"/>
        </w:numPr>
      </w:pPr>
      <w:r>
        <w:t>Charakteristika učebného predmetu</w:t>
      </w:r>
    </w:p>
    <w:p w14:paraId="7A1E6748" w14:textId="671D765E" w:rsidR="00DB1B85" w:rsidRDefault="00DB1B85" w:rsidP="00E77E09">
      <w:pPr>
        <w:pStyle w:val="Zkladntext"/>
        <w:spacing w:before="117" w:line="276" w:lineRule="auto"/>
        <w:ind w:right="124"/>
      </w:pPr>
      <w:r>
        <w:t>Obsah vyučovacieho predmetu vychádza zo vzdeláva</w:t>
      </w:r>
      <w:r w:rsidR="00655361">
        <w:t xml:space="preserve">cích štandardov </w:t>
      </w:r>
      <w:r w:rsidR="003A0FC4">
        <w:t>64 Ekonomika a organizácia, obchod a služby II</w:t>
      </w:r>
      <w:r w:rsidR="00655361">
        <w:t xml:space="preserve">. Pomôže žiakovi pri rozhodovaní o ďalšej profesijnej a vzdelávacej orientácii, pri vstupe na trh práce a pri uplatňovaní pracovných práv. </w:t>
      </w:r>
    </w:p>
    <w:p w14:paraId="7AFADA07" w14:textId="770FA01A" w:rsidR="00A359A7" w:rsidRDefault="00A359A7" w:rsidP="00A359A7">
      <w:pPr>
        <w:pStyle w:val="Nadpis1"/>
        <w:keepLines w:val="0"/>
        <w:numPr>
          <w:ilvl w:val="0"/>
          <w:numId w:val="20"/>
        </w:numPr>
        <w:spacing w:after="60"/>
      </w:pPr>
      <w:r>
        <w:t>Ciele učebného predmetu</w:t>
      </w:r>
    </w:p>
    <w:p w14:paraId="08016822" w14:textId="6E1F9F31" w:rsidR="00DB1B85" w:rsidRDefault="00655361" w:rsidP="00E77E09">
      <w:pPr>
        <w:pStyle w:val="Zkladntext"/>
        <w:spacing w:before="117" w:line="276" w:lineRule="auto"/>
        <w:ind w:right="124"/>
      </w:pPr>
      <w:r>
        <w:t xml:space="preserve">Cieľom je príprava absolventa s konkrétnym odborným profilom, ktorý mu pomôže úspešne sa presadiť na trhu práce i v živote. Žiaci sa zoznámia </w:t>
      </w:r>
      <w:r w:rsidR="00DB1B85">
        <w:t>s rýchlo sa rozvíjajúcou oblasťou finančných produktov a</w:t>
      </w:r>
      <w:r>
        <w:t> </w:t>
      </w:r>
      <w:r w:rsidR="00DB1B85">
        <w:t>služieb</w:t>
      </w:r>
      <w:r>
        <w:t xml:space="preserve">. Vedie ich </w:t>
      </w:r>
      <w:r w:rsidR="00DB1B85">
        <w:t>k pochopeniu a prijatiu osobnej zodpovednosti</w:t>
      </w:r>
      <w:r>
        <w:t xml:space="preserve"> </w:t>
      </w:r>
      <w:r w:rsidR="00DB1B85">
        <w:t>za finančné zabezpečenie seba aj svojej rodiny. V širšom kontexte tiež viesť k uvedomeniu si dôsledkov</w:t>
      </w:r>
      <w:r>
        <w:t xml:space="preserve"> </w:t>
      </w:r>
      <w:r w:rsidR="00DB1B85">
        <w:t xml:space="preserve">socioekonomického vývoja spoločnosti, najmä s ohľadom na prevenciu </w:t>
      </w:r>
      <w:proofErr w:type="spellStart"/>
      <w:r w:rsidR="00C304B8">
        <w:t>za</w:t>
      </w:r>
      <w:r w:rsidR="00DB1B85">
        <w:t>dĺženia</w:t>
      </w:r>
      <w:proofErr w:type="spellEnd"/>
      <w:r w:rsidR="00DB1B85">
        <w:t xml:space="preserve"> a zabezpečenie sa</w:t>
      </w:r>
      <w:r>
        <w:t xml:space="preserve"> v </w:t>
      </w:r>
      <w:r w:rsidR="00DB1B85">
        <w:t>starobe.</w:t>
      </w:r>
    </w:p>
    <w:p w14:paraId="19C99035" w14:textId="3F8AE33D" w:rsidR="00DB1B85" w:rsidRDefault="00655361" w:rsidP="00E77E09">
      <w:pPr>
        <w:pStyle w:val="Zkladntext"/>
        <w:spacing w:before="117" w:line="276" w:lineRule="auto"/>
        <w:ind w:right="124"/>
      </w:pPr>
      <w:r>
        <w:t xml:space="preserve">Riadenie osobných financií je potrebné na to, </w:t>
      </w:r>
      <w:r w:rsidR="00DB1B85">
        <w:t>aby finančne zabezpečil seba a svoju rodinu v súčasnej spoločnosti a aktívne vystupoval na trhu</w:t>
      </w:r>
      <w:r>
        <w:t xml:space="preserve"> </w:t>
      </w:r>
      <w:r w:rsidR="00DB1B85">
        <w:t>finančných produktov a služieb. Finančne gramotný občan sa orientuje v problematike peňazí a cien a</w:t>
      </w:r>
      <w:r>
        <w:t> </w:t>
      </w:r>
      <w:r w:rsidR="00DB1B85">
        <w:t>je</w:t>
      </w:r>
      <w:r>
        <w:t xml:space="preserve"> </w:t>
      </w:r>
      <w:r w:rsidR="00DB1B85">
        <w:t>schopný zodpovedne spravovať osobný/rodinný rozpočet, vrátane správy finančných aktív a</w:t>
      </w:r>
      <w:r>
        <w:t> </w:t>
      </w:r>
      <w:r w:rsidR="00DB1B85">
        <w:t>finančných</w:t>
      </w:r>
      <w:r>
        <w:t xml:space="preserve"> </w:t>
      </w:r>
      <w:r w:rsidR="00DB1B85">
        <w:t>záväzkov s ohľadom na meniace sa životné situácie.</w:t>
      </w:r>
    </w:p>
    <w:p w14:paraId="15AC7A9B" w14:textId="4D8C2B07" w:rsidR="007A54FE" w:rsidRDefault="00C304B8" w:rsidP="00E77E09">
      <w:pPr>
        <w:pStyle w:val="Zkladntext"/>
        <w:spacing w:after="240" w:line="276" w:lineRule="auto"/>
        <w:jc w:val="both"/>
      </w:pPr>
      <w:r>
        <w:t xml:space="preserve">  </w:t>
      </w:r>
      <w:r w:rsidR="007A54FE">
        <w:t>Vzdelávací obsah predmetu je rozdelený do piatich tematických okruhov:</w:t>
      </w:r>
    </w:p>
    <w:p w14:paraId="14E837EB" w14:textId="2814778C" w:rsidR="007A54FE" w:rsidRPr="007A54FE" w:rsidRDefault="00C304B8" w:rsidP="00C304B8">
      <w:pPr>
        <w:pStyle w:val="Zkladntext"/>
        <w:spacing w:line="276" w:lineRule="auto"/>
        <w:ind w:right="124"/>
        <w:jc w:val="both"/>
      </w:pPr>
      <w:r>
        <w:t xml:space="preserve">  </w:t>
      </w:r>
      <w:r w:rsidRPr="00C304B8">
        <w:t>Zdroje osobných príjmov</w:t>
      </w:r>
      <w:r>
        <w:t>.</w:t>
      </w:r>
    </w:p>
    <w:p w14:paraId="2BB60146" w14:textId="343AF121" w:rsidR="007A54FE" w:rsidRDefault="00C304B8" w:rsidP="00C304B8">
      <w:pPr>
        <w:pStyle w:val="Zkladntext"/>
        <w:spacing w:line="276" w:lineRule="auto"/>
        <w:ind w:right="124"/>
        <w:jc w:val="both"/>
      </w:pPr>
      <w:r>
        <w:t xml:space="preserve">  </w:t>
      </w:r>
      <w:r w:rsidRPr="00C304B8">
        <w:t>Finančný plán</w:t>
      </w:r>
      <w:r>
        <w:t>.</w:t>
      </w:r>
      <w:r w:rsidR="007A54FE">
        <w:t xml:space="preserve"> </w:t>
      </w:r>
    </w:p>
    <w:p w14:paraId="005B982D" w14:textId="54414C77" w:rsidR="007A54FE" w:rsidRDefault="00C304B8" w:rsidP="00C304B8">
      <w:pPr>
        <w:pStyle w:val="Zkladntext"/>
        <w:spacing w:line="276" w:lineRule="auto"/>
        <w:ind w:right="124"/>
        <w:jc w:val="both"/>
      </w:pPr>
      <w:r>
        <w:t xml:space="preserve">  </w:t>
      </w:r>
      <w:proofErr w:type="spellStart"/>
      <w:r w:rsidRPr="00C304B8">
        <w:t>Zadlženíe</w:t>
      </w:r>
      <w:proofErr w:type="spellEnd"/>
      <w:r w:rsidRPr="00C304B8">
        <w:t>, predĺženie</w:t>
      </w:r>
      <w:r>
        <w:t>.</w:t>
      </w:r>
    </w:p>
    <w:p w14:paraId="54E99D3C" w14:textId="681F4406" w:rsidR="007A54FE" w:rsidRDefault="00C304B8" w:rsidP="00C304B8">
      <w:pPr>
        <w:pStyle w:val="Zkladntext"/>
        <w:spacing w:line="276" w:lineRule="auto"/>
        <w:ind w:right="124"/>
        <w:jc w:val="both"/>
      </w:pPr>
      <w:r>
        <w:t xml:space="preserve">  </w:t>
      </w:r>
      <w:r w:rsidRPr="00C304B8">
        <w:t>Finančná prosperita, investičné alternatívy</w:t>
      </w:r>
      <w:r>
        <w:t>.</w:t>
      </w:r>
    </w:p>
    <w:p w14:paraId="3AC3EB93" w14:textId="51180262" w:rsidR="00DB1B85" w:rsidRPr="00DB1B85" w:rsidRDefault="00C304B8" w:rsidP="00C304B8">
      <w:pPr>
        <w:pStyle w:val="Zkladntext"/>
        <w:spacing w:after="240" w:line="276" w:lineRule="auto"/>
        <w:ind w:right="124"/>
        <w:jc w:val="both"/>
      </w:pPr>
      <w:r>
        <w:t xml:space="preserve">  </w:t>
      </w:r>
      <w:r w:rsidRPr="00C304B8">
        <w:t>Riziko a poistenie</w:t>
      </w:r>
      <w:r w:rsidR="007A54FE" w:rsidRPr="007A54FE">
        <w:t>.</w:t>
      </w:r>
    </w:p>
    <w:p w14:paraId="413AD878" w14:textId="0DC064FD" w:rsidR="007A54FE" w:rsidRDefault="007A54FE" w:rsidP="00C304B8">
      <w:pPr>
        <w:pStyle w:val="Nadpis1"/>
        <w:keepLines w:val="0"/>
        <w:numPr>
          <w:ilvl w:val="0"/>
          <w:numId w:val="20"/>
        </w:numPr>
        <w:spacing w:after="60"/>
      </w:pPr>
      <w:r>
        <w:t>Š</w:t>
      </w:r>
      <w:r w:rsidR="00B93249">
        <w:t>tandard kompetencií</w:t>
      </w:r>
    </w:p>
    <w:p w14:paraId="098F4AAA" w14:textId="5FF39C83" w:rsidR="007A54FE" w:rsidRDefault="00AD3B69" w:rsidP="00AD3B69">
      <w:pPr>
        <w:pStyle w:val="Zkladntext"/>
        <w:spacing w:before="117"/>
        <w:jc w:val="both"/>
      </w:pPr>
      <w:r>
        <w:t xml:space="preserve">Vzdelávacie štandardy pre študijné odbory skupiny odborov 64 Ekonomika a organizácia, obchod a služby II </w:t>
      </w:r>
    </w:p>
    <w:p w14:paraId="593011C8" w14:textId="6E1428E4" w:rsidR="007A54FE" w:rsidRPr="00047A1A" w:rsidRDefault="00AD3B69" w:rsidP="00047A1A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 w:rsidRPr="00047A1A">
        <w:rPr>
          <w:iCs/>
          <w:sz w:val="28"/>
          <w:szCs w:val="28"/>
        </w:rPr>
        <w:t>Vzdelávacie štandardy</w:t>
      </w:r>
      <w:r w:rsidR="00047A1A">
        <w:rPr>
          <w:iCs/>
          <w:sz w:val="28"/>
          <w:szCs w:val="28"/>
        </w:rPr>
        <w:t xml:space="preserve"> – ekonomické vzdelávanie</w:t>
      </w:r>
    </w:p>
    <w:p w14:paraId="5FA54AFF" w14:textId="77777777" w:rsidR="001B7860" w:rsidRDefault="001B7860" w:rsidP="001B7860">
      <w:pPr>
        <w:spacing w:line="276" w:lineRule="auto"/>
      </w:pPr>
      <w:r>
        <w:t>- vysvetliť prvky osobného rozpočtu (pravidelné a nepravidelné príjmy, výdavky a úspory);</w:t>
      </w:r>
    </w:p>
    <w:p w14:paraId="633B0F3F" w14:textId="77777777" w:rsidR="001B7860" w:rsidRDefault="001B7860" w:rsidP="001B7860">
      <w:pPr>
        <w:spacing w:line="276" w:lineRule="auto"/>
      </w:pPr>
      <w:r>
        <w:t>- zostaviť rozpočet domácnosti;</w:t>
      </w:r>
    </w:p>
    <w:p w14:paraId="03ACCB92" w14:textId="77777777" w:rsidR="001B7860" w:rsidRDefault="001B7860" w:rsidP="001B7860">
      <w:pPr>
        <w:spacing w:line="276" w:lineRule="auto"/>
      </w:pPr>
      <w:r>
        <w:t>- vysvetliť, kedy sporiť a kedy si požičiavať (rozdiel medzi úsporami a pôžičkou);</w:t>
      </w:r>
    </w:p>
    <w:p w14:paraId="170A4176" w14:textId="77777777" w:rsidR="001B7860" w:rsidRDefault="001B7860" w:rsidP="001B7860">
      <w:pPr>
        <w:spacing w:line="276" w:lineRule="auto"/>
      </w:pPr>
      <w:r>
        <w:lastRenderedPageBreak/>
        <w:t>- vysvetliť rozdiel medzi bankovými a nebankovými subjektmi a význam ochrany vkladov v SR;</w:t>
      </w:r>
    </w:p>
    <w:p w14:paraId="1FCAE3DE" w14:textId="77777777" w:rsidR="001B7860" w:rsidRDefault="001B7860" w:rsidP="001B7860">
      <w:pPr>
        <w:spacing w:line="276" w:lineRule="auto"/>
      </w:pPr>
      <w:r>
        <w:t>- opísať základné typy bankových produktov;</w:t>
      </w:r>
    </w:p>
    <w:p w14:paraId="45947C50" w14:textId="77777777" w:rsidR="001B7860" w:rsidRDefault="001B7860" w:rsidP="001B7860">
      <w:pPr>
        <w:spacing w:line="276" w:lineRule="auto"/>
      </w:pPr>
      <w:r>
        <w:t>- opísať spôsob rozhodovania pri sporení a investovaní finančných prostriedkov;</w:t>
      </w:r>
    </w:p>
    <w:p w14:paraId="6C71D988" w14:textId="77777777" w:rsidR="001B7860" w:rsidRDefault="001B7860" w:rsidP="001B7860">
      <w:pPr>
        <w:spacing w:line="276" w:lineRule="auto"/>
      </w:pPr>
      <w:r>
        <w:t>- opísať moderné spôsoby platenia;</w:t>
      </w:r>
    </w:p>
    <w:p w14:paraId="66B339C1" w14:textId="77777777" w:rsidR="001B7860" w:rsidRDefault="001B7860" w:rsidP="001B7860">
      <w:pPr>
        <w:spacing w:line="276" w:lineRule="auto"/>
      </w:pPr>
      <w:r>
        <w:t>- rozlíšiť platobné karty podľa funkcie (debetné, kreditné);</w:t>
      </w:r>
    </w:p>
    <w:p w14:paraId="3B5D40E1" w14:textId="77777777" w:rsidR="002677C4" w:rsidRDefault="001B7860" w:rsidP="001B7860">
      <w:pPr>
        <w:spacing w:line="276" w:lineRule="auto"/>
      </w:pPr>
      <w:r>
        <w:t xml:space="preserve">- opísať spôsoby platenia v tuzemskej a zahraničnej mene; </w:t>
      </w:r>
    </w:p>
    <w:p w14:paraId="04BB8AFE" w14:textId="1AEAF6D8" w:rsidR="001B7860" w:rsidRDefault="002677C4" w:rsidP="001B7860">
      <w:pPr>
        <w:spacing w:line="276" w:lineRule="auto"/>
      </w:pPr>
      <w:r>
        <w:t xml:space="preserve">- </w:t>
      </w:r>
      <w:r w:rsidR="001B7860">
        <w:t>porozumieť prepočtu meny (napríklad českých korún na Euro a naopak);</w:t>
      </w:r>
    </w:p>
    <w:p w14:paraId="29CFD8A3" w14:textId="77777777" w:rsidR="001B7860" w:rsidRDefault="001B7860" w:rsidP="001B7860">
      <w:pPr>
        <w:spacing w:line="276" w:lineRule="auto"/>
      </w:pPr>
      <w:r>
        <w:t>- zhodnotiť výhody a nevýhody využívania úveru vrátane používania kreditnej karty;</w:t>
      </w:r>
    </w:p>
    <w:p w14:paraId="6ECC4DC1" w14:textId="77777777" w:rsidR="001B7860" w:rsidRDefault="001B7860" w:rsidP="001B7860">
      <w:pPr>
        <w:spacing w:line="276" w:lineRule="auto"/>
      </w:pPr>
      <w:r>
        <w:t>- uviesť príklady spotrebiteľských úverov a ich poskytovateľov;</w:t>
      </w:r>
    </w:p>
    <w:p w14:paraId="788BE6F2" w14:textId="77777777" w:rsidR="001B7860" w:rsidRDefault="001B7860" w:rsidP="001B7860">
      <w:pPr>
        <w:spacing w:line="276" w:lineRule="auto"/>
      </w:pPr>
      <w:r>
        <w:t>- uviesť príklady legálnych a nelegálnych postupov pri vymáhaní dlhov;</w:t>
      </w:r>
    </w:p>
    <w:p w14:paraId="2A27CB00" w14:textId="77777777" w:rsidR="001B7860" w:rsidRDefault="001B7860" w:rsidP="001B7860">
      <w:pPr>
        <w:spacing w:line="276" w:lineRule="auto"/>
      </w:pPr>
      <w:r>
        <w:t>- uviesť možnosti využitia voľných finančných prostriedkov (sporenie, produkty so štátnym príspevkom, nehnuteľnosti);</w:t>
      </w:r>
    </w:p>
    <w:p w14:paraId="53A386DB" w14:textId="77777777" w:rsidR="001B7860" w:rsidRDefault="001B7860" w:rsidP="001B7860">
      <w:pPr>
        <w:spacing w:line="276" w:lineRule="auto"/>
      </w:pPr>
      <w:r>
        <w:t>- vysvetliť podstatu a význam poistenia;</w:t>
      </w:r>
    </w:p>
    <w:p w14:paraId="437960D1" w14:textId="77777777" w:rsidR="001B7860" w:rsidRDefault="001B7860" w:rsidP="001B7860">
      <w:pPr>
        <w:spacing w:line="276" w:lineRule="auto"/>
      </w:pPr>
      <w:r>
        <w:t>- uviesť základné druhy poistenia (životné a neživotné);</w:t>
      </w:r>
    </w:p>
    <w:p w14:paraId="228402ED" w14:textId="77777777" w:rsidR="001B7860" w:rsidRDefault="001B7860" w:rsidP="001B7860">
      <w:pPr>
        <w:spacing w:line="276" w:lineRule="auto"/>
      </w:pPr>
      <w:r>
        <w:t>- vysvetliť základný účel verejného poistenia;</w:t>
      </w:r>
    </w:p>
    <w:p w14:paraId="32F8AEAB" w14:textId="2101A8D6" w:rsidR="001B7860" w:rsidRDefault="001B7860" w:rsidP="000D0073">
      <w:pPr>
        <w:spacing w:line="276" w:lineRule="auto"/>
      </w:pPr>
      <w:r>
        <w:t>- charakterizovať zdravotné poistenie, sociálne poistenie a v rámci neho predovšetkým nemocenské</w:t>
      </w:r>
      <w:r w:rsidR="000D0073">
        <w:t xml:space="preserve"> </w:t>
      </w:r>
      <w:r>
        <w:t>poistenie, dôchodkové poistenie, úrazové poistenie a poistenie v nezamestnanosti;</w:t>
      </w:r>
    </w:p>
    <w:p w14:paraId="09519E81" w14:textId="765C07FC" w:rsidR="001B7860" w:rsidRDefault="001B7860" w:rsidP="001B7860">
      <w:pPr>
        <w:spacing w:line="276" w:lineRule="auto"/>
      </w:pPr>
      <w:r>
        <w:t>- rozoznať hlavné typy poistenia motorových vozidiel</w:t>
      </w:r>
      <w:r w:rsidR="000D0073">
        <w:t>.</w:t>
      </w:r>
    </w:p>
    <w:p w14:paraId="58A33630" w14:textId="6500E88A" w:rsidR="00047A1A" w:rsidRPr="009E1A0E" w:rsidRDefault="009E1A0E" w:rsidP="009E1A0E">
      <w:pPr>
        <w:pStyle w:val="Nadpis2"/>
        <w:spacing w:before="125" w:after="240"/>
        <w:ind w:right="12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Kompetencie NŠFG, verzia 1.2</w:t>
      </w:r>
    </w:p>
    <w:p w14:paraId="7A899696" w14:textId="77777777" w:rsidR="009E1A0E" w:rsidRDefault="009E1A0E" w:rsidP="009E1A0E">
      <w:pPr>
        <w:spacing w:line="276" w:lineRule="auto"/>
      </w:pPr>
      <w:r>
        <w:t xml:space="preserve">2 Plánovanie, príjem a práca </w:t>
      </w:r>
    </w:p>
    <w:p w14:paraId="12BA64B8" w14:textId="77777777" w:rsidR="009E1A0E" w:rsidRPr="009E1A0E" w:rsidRDefault="009E1A0E" w:rsidP="00047A1A">
      <w:pPr>
        <w:spacing w:line="276" w:lineRule="auto"/>
        <w:rPr>
          <w:b/>
          <w:bCs/>
        </w:rPr>
      </w:pPr>
      <w:r w:rsidRPr="009E1A0E">
        <w:rPr>
          <w:b/>
          <w:bCs/>
        </w:rPr>
        <w:t>Čiastková kompetencia 2</w:t>
      </w:r>
    </w:p>
    <w:p w14:paraId="0D6A7A1E" w14:textId="77777777" w:rsidR="009E1A0E" w:rsidRDefault="009E1A0E" w:rsidP="00047A1A">
      <w:pPr>
        <w:spacing w:line="276" w:lineRule="auto"/>
      </w:pPr>
      <w:r w:rsidRPr="009E1A0E">
        <w:rPr>
          <w:b/>
          <w:bCs/>
          <w:i/>
          <w:iCs/>
          <w:color w:val="2F5496" w:themeColor="accent1" w:themeShade="BF"/>
        </w:rPr>
        <w:t>Vypracovať finančný plán</w:t>
      </w:r>
      <w:r>
        <w:t xml:space="preserve"> </w:t>
      </w:r>
    </w:p>
    <w:p w14:paraId="25B8D7D1" w14:textId="77777777" w:rsidR="000D1010" w:rsidRPr="007D07B7" w:rsidRDefault="000D1010" w:rsidP="000D1010">
      <w:pPr>
        <w:spacing w:line="276" w:lineRule="auto"/>
      </w:pPr>
      <w:r w:rsidRPr="007D07B7">
        <w:t>Vysvetliť prvky osobného rozpočtu (pravidelné a nepravidelné príjmy, výdavky a úspory).</w:t>
      </w:r>
    </w:p>
    <w:p w14:paraId="3F3C2DE4" w14:textId="77777777" w:rsidR="000D1010" w:rsidRPr="007D07B7" w:rsidRDefault="000D1010" w:rsidP="000D1010">
      <w:pPr>
        <w:spacing w:line="276" w:lineRule="auto"/>
      </w:pPr>
      <w:r w:rsidRPr="007D07B7">
        <w:t>Zostaviť rozpočet domácnosti.</w:t>
      </w:r>
    </w:p>
    <w:p w14:paraId="2640B5C4" w14:textId="19517D11" w:rsidR="007C34B1" w:rsidRPr="007D07B7" w:rsidRDefault="000D1010" w:rsidP="000D1010">
      <w:pPr>
        <w:spacing w:line="276" w:lineRule="auto"/>
      </w:pPr>
      <w:r w:rsidRPr="007D07B7">
        <w:t>Charakterizovať typy rozpočtov (vyrovnaný, schodkový, prebytkový) na úrovni rodiny.</w:t>
      </w:r>
    </w:p>
    <w:p w14:paraId="02EBB937" w14:textId="77777777" w:rsidR="000D1010" w:rsidRDefault="000D1010" w:rsidP="000D1010">
      <w:pPr>
        <w:spacing w:line="276" w:lineRule="auto"/>
      </w:pPr>
    </w:p>
    <w:p w14:paraId="22BE7AFB" w14:textId="77777777" w:rsidR="007C34B1" w:rsidRDefault="007C34B1" w:rsidP="00047A1A">
      <w:pPr>
        <w:spacing w:line="276" w:lineRule="auto"/>
      </w:pPr>
      <w:r>
        <w:t xml:space="preserve">4 Úver a dlh </w:t>
      </w:r>
    </w:p>
    <w:p w14:paraId="70BBCF0E" w14:textId="77777777" w:rsidR="007C34B1" w:rsidRDefault="007C34B1" w:rsidP="00047A1A">
      <w:pPr>
        <w:spacing w:line="276" w:lineRule="auto"/>
      </w:pPr>
      <w:r w:rsidRPr="007C34B1">
        <w:rPr>
          <w:b/>
          <w:bCs/>
        </w:rPr>
        <w:t>Čiastková kompetencia 1</w:t>
      </w:r>
      <w:r>
        <w:t xml:space="preserve"> </w:t>
      </w:r>
    </w:p>
    <w:p w14:paraId="397645B9" w14:textId="77777777" w:rsidR="00090285" w:rsidRDefault="007C34B1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Identifikovať riziká, prínosy a náklady jednotlivých typov úverov</w:t>
      </w:r>
      <w:r>
        <w:t xml:space="preserve"> </w:t>
      </w:r>
    </w:p>
    <w:p w14:paraId="0AECAC55" w14:textId="77777777" w:rsidR="00C82A1C" w:rsidRPr="007D07B7" w:rsidRDefault="00C82A1C" w:rsidP="00C82A1C">
      <w:pPr>
        <w:spacing w:line="276" w:lineRule="auto"/>
      </w:pPr>
      <w:r w:rsidRPr="007D07B7">
        <w:t>Zhodnotiť výhody a nevýhody využívania úveru vrátane používania kreditnej karty.</w:t>
      </w:r>
    </w:p>
    <w:p w14:paraId="349BE16B" w14:textId="77777777" w:rsidR="00C82A1C" w:rsidRPr="007D07B7" w:rsidRDefault="00C82A1C" w:rsidP="00C82A1C">
      <w:pPr>
        <w:spacing w:line="276" w:lineRule="auto"/>
      </w:pPr>
      <w:r w:rsidRPr="007D07B7">
        <w:t>Aplikovať na príkladoch jednoduché úročenie.</w:t>
      </w:r>
    </w:p>
    <w:p w14:paraId="6878CA90" w14:textId="5BC6253B" w:rsidR="00090285" w:rsidRDefault="00090285" w:rsidP="00C82A1C">
      <w:pPr>
        <w:spacing w:line="276" w:lineRule="auto"/>
      </w:pPr>
    </w:p>
    <w:p w14:paraId="55B5C86D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2</w:t>
      </w:r>
      <w:r>
        <w:t xml:space="preserve"> </w:t>
      </w:r>
    </w:p>
    <w:p w14:paraId="32B7D546" w14:textId="4BA0D351" w:rsidR="00C82A1C" w:rsidRDefault="00090285" w:rsidP="00C82A1C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 xml:space="preserve">Mať základné informácie o jednotlivých druhoch úverov poskytovaných spotrebiteľom </w:t>
      </w:r>
      <w:r>
        <w:t xml:space="preserve"> </w:t>
      </w:r>
    </w:p>
    <w:p w14:paraId="5809DB8A" w14:textId="14D4BBAD" w:rsidR="00C82A1C" w:rsidRPr="007D07B7" w:rsidRDefault="00C82A1C" w:rsidP="00C82A1C">
      <w:pPr>
        <w:spacing w:line="276" w:lineRule="auto"/>
      </w:pPr>
      <w:r w:rsidRPr="007D07B7">
        <w:t>Uviesť príklady spotrebiteľských úverov a ich poskytovateľov.</w:t>
      </w:r>
    </w:p>
    <w:p w14:paraId="00C98CD7" w14:textId="0D381567" w:rsidR="00090285" w:rsidRPr="007D07B7" w:rsidRDefault="00C82A1C" w:rsidP="00C82A1C">
      <w:pPr>
        <w:spacing w:line="276" w:lineRule="auto"/>
      </w:pPr>
      <w:r w:rsidRPr="007D07B7">
        <w:t>Vysvetliť systém ochrany spotrebiteľa pri úveroch spotrebiteľom.</w:t>
      </w:r>
    </w:p>
    <w:p w14:paraId="23B450B3" w14:textId="77777777" w:rsidR="009E1A0E" w:rsidRDefault="009E1A0E" w:rsidP="00047A1A">
      <w:pPr>
        <w:spacing w:line="276" w:lineRule="auto"/>
      </w:pPr>
    </w:p>
    <w:p w14:paraId="71B8CA39" w14:textId="77777777" w:rsidR="000460E3" w:rsidRPr="000460E3" w:rsidRDefault="000460E3" w:rsidP="000460E3">
      <w:pPr>
        <w:spacing w:line="276" w:lineRule="auto"/>
        <w:rPr>
          <w:b/>
          <w:bCs/>
        </w:rPr>
      </w:pPr>
      <w:r w:rsidRPr="000460E3">
        <w:rPr>
          <w:b/>
          <w:bCs/>
        </w:rPr>
        <w:t>Čiastková kompetencia 3</w:t>
      </w:r>
    </w:p>
    <w:p w14:paraId="5932D4EE" w14:textId="77777777" w:rsidR="000460E3" w:rsidRPr="000460E3" w:rsidRDefault="000460E3" w:rsidP="000460E3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0460E3">
        <w:rPr>
          <w:b/>
          <w:bCs/>
          <w:i/>
          <w:iCs/>
          <w:color w:val="2F5496" w:themeColor="accent1" w:themeShade="BF"/>
        </w:rPr>
        <w:t>Zhodnotiť možnosti, ako sa vyhnúť problémom so zadlžením (predĺžením)</w:t>
      </w:r>
    </w:p>
    <w:p w14:paraId="0E1FA1C7" w14:textId="77777777" w:rsidR="000460E3" w:rsidRPr="000460E3" w:rsidRDefault="000460E3" w:rsidP="000460E3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0460E3">
        <w:rPr>
          <w:b/>
          <w:bCs/>
          <w:i/>
          <w:iCs/>
          <w:color w:val="2F5496" w:themeColor="accent1" w:themeShade="BF"/>
        </w:rPr>
        <w:t>alebo ako ich zvládnuť</w:t>
      </w:r>
    </w:p>
    <w:p w14:paraId="5C1E4BDC" w14:textId="77777777" w:rsidR="000460E3" w:rsidRDefault="000460E3" w:rsidP="000460E3">
      <w:pPr>
        <w:spacing w:line="276" w:lineRule="auto"/>
        <w:rPr>
          <w:b/>
          <w:bCs/>
        </w:rPr>
      </w:pPr>
      <w:r w:rsidRPr="007D07B7">
        <w:t>Uviesť príklady legálnych a nelegálnych postupov pri vymáhaní dlhov.</w:t>
      </w:r>
      <w:r w:rsidRPr="007D07B7">
        <w:rPr>
          <w:b/>
          <w:bCs/>
        </w:rPr>
        <w:t xml:space="preserve"> </w:t>
      </w:r>
    </w:p>
    <w:p w14:paraId="48019E92" w14:textId="77777777" w:rsidR="00090285" w:rsidRDefault="00090285" w:rsidP="00047A1A">
      <w:pPr>
        <w:spacing w:line="276" w:lineRule="auto"/>
      </w:pPr>
    </w:p>
    <w:p w14:paraId="12B0ED8A" w14:textId="77777777" w:rsidR="00090285" w:rsidRDefault="00090285" w:rsidP="00047A1A">
      <w:pPr>
        <w:spacing w:line="276" w:lineRule="auto"/>
      </w:pPr>
      <w:r>
        <w:lastRenderedPageBreak/>
        <w:t xml:space="preserve">5 Sporenie a investovanie </w:t>
      </w:r>
    </w:p>
    <w:p w14:paraId="1474BD49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1</w:t>
      </w:r>
      <w:r>
        <w:t xml:space="preserve"> </w:t>
      </w:r>
    </w:p>
    <w:p w14:paraId="79402013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Vysvetliť, ako sporenie prispieva k finančnej prosperite</w:t>
      </w:r>
      <w:r>
        <w:t xml:space="preserve"> </w:t>
      </w:r>
    </w:p>
    <w:p w14:paraId="2ED2408C" w14:textId="77777777" w:rsidR="00C82A1C" w:rsidRPr="007D07B7" w:rsidRDefault="00C82A1C" w:rsidP="00C82A1C">
      <w:pPr>
        <w:spacing w:line="276" w:lineRule="auto"/>
      </w:pPr>
      <w:r w:rsidRPr="007D07B7">
        <w:t>Uviesť možnosti využitia voľných finančných prostriedkov (sporenie, produkty so štátnym</w:t>
      </w:r>
    </w:p>
    <w:p w14:paraId="5302F886" w14:textId="77777777" w:rsidR="00C82A1C" w:rsidRPr="007D07B7" w:rsidRDefault="00C82A1C" w:rsidP="00C82A1C">
      <w:pPr>
        <w:spacing w:line="276" w:lineRule="auto"/>
      </w:pPr>
      <w:r w:rsidRPr="007D07B7">
        <w:t>príspevkom, nehnuteľnosti).</w:t>
      </w:r>
    </w:p>
    <w:p w14:paraId="2C04E380" w14:textId="77777777" w:rsidR="00090285" w:rsidRDefault="00090285" w:rsidP="00047A1A">
      <w:pPr>
        <w:spacing w:line="276" w:lineRule="auto"/>
      </w:pPr>
    </w:p>
    <w:p w14:paraId="27D4B529" w14:textId="77777777" w:rsidR="00090285" w:rsidRDefault="00090285" w:rsidP="00047A1A">
      <w:pPr>
        <w:spacing w:line="276" w:lineRule="auto"/>
      </w:pPr>
      <w:r>
        <w:t xml:space="preserve">6 Riadenie rizika a poistenie </w:t>
      </w:r>
    </w:p>
    <w:p w14:paraId="21BCA273" w14:textId="77777777" w:rsidR="00090285" w:rsidRDefault="00090285" w:rsidP="00047A1A">
      <w:pPr>
        <w:spacing w:line="276" w:lineRule="auto"/>
      </w:pPr>
      <w:r w:rsidRPr="00090285">
        <w:rPr>
          <w:b/>
          <w:bCs/>
        </w:rPr>
        <w:t>Čiastková kompetencia 1</w:t>
      </w:r>
      <w:r>
        <w:t xml:space="preserve"> </w:t>
      </w:r>
    </w:p>
    <w:p w14:paraId="7AD33D78" w14:textId="77777777" w:rsidR="00090285" w:rsidRDefault="00090285" w:rsidP="00047A1A">
      <w:pPr>
        <w:spacing w:line="276" w:lineRule="auto"/>
      </w:pPr>
      <w:r w:rsidRPr="00090285">
        <w:rPr>
          <w:b/>
          <w:bCs/>
          <w:i/>
          <w:iCs/>
          <w:color w:val="2F5496" w:themeColor="accent1" w:themeShade="BF"/>
        </w:rPr>
        <w:t>Vysvetliť pojem riziko a pojem poistenie</w:t>
      </w:r>
      <w:r>
        <w:t xml:space="preserve"> </w:t>
      </w:r>
    </w:p>
    <w:p w14:paraId="12E9390F" w14:textId="3B43FF68" w:rsidR="00090285" w:rsidRPr="007D07B7" w:rsidRDefault="00C82A1C" w:rsidP="00016763">
      <w:pPr>
        <w:spacing w:line="276" w:lineRule="auto"/>
      </w:pPr>
      <w:r w:rsidRPr="007D07B7">
        <w:t>Vysvetliť podstatu a význam poistenia.</w:t>
      </w:r>
    </w:p>
    <w:p w14:paraId="297F5099" w14:textId="6CCCA966" w:rsidR="00016763" w:rsidRPr="007D07B7" w:rsidRDefault="00016763" w:rsidP="00016763">
      <w:pPr>
        <w:spacing w:line="276" w:lineRule="auto"/>
      </w:pPr>
      <w:r w:rsidRPr="007D07B7">
        <w:t>Druhy poisteni</w:t>
      </w:r>
      <w:r w:rsidR="00753980">
        <w:t>a</w:t>
      </w:r>
    </w:p>
    <w:p w14:paraId="21B77457" w14:textId="77777777" w:rsidR="007D07B7" w:rsidRPr="00016763" w:rsidRDefault="007D07B7" w:rsidP="00016763">
      <w:pPr>
        <w:spacing w:line="276" w:lineRule="auto"/>
        <w:rPr>
          <w:color w:val="FF0000"/>
        </w:rPr>
      </w:pPr>
    </w:p>
    <w:p w14:paraId="79978D0F" w14:textId="77777777" w:rsidR="00696964" w:rsidRDefault="00696964" w:rsidP="00047A1A">
      <w:pPr>
        <w:spacing w:line="276" w:lineRule="auto"/>
      </w:pPr>
      <w:r w:rsidRPr="00696964">
        <w:rPr>
          <w:b/>
          <w:bCs/>
        </w:rPr>
        <w:t>Čiastková kompetencia 2</w:t>
      </w:r>
      <w:r>
        <w:t xml:space="preserve"> </w:t>
      </w:r>
    </w:p>
    <w:p w14:paraId="56A4C659" w14:textId="77777777" w:rsidR="00696964" w:rsidRDefault="00696964" w:rsidP="00047A1A">
      <w:pPr>
        <w:spacing w:line="276" w:lineRule="auto"/>
        <w:rPr>
          <w:b/>
          <w:bCs/>
          <w:i/>
          <w:iCs/>
          <w:color w:val="2F5496" w:themeColor="accent1" w:themeShade="BF"/>
        </w:rPr>
      </w:pPr>
      <w:r w:rsidRPr="00696964">
        <w:rPr>
          <w:b/>
          <w:bCs/>
          <w:i/>
          <w:iCs/>
          <w:color w:val="2F5496" w:themeColor="accent1" w:themeShade="BF"/>
        </w:rPr>
        <w:t xml:space="preserve">Charakterizovať verejné poistenie a vysvetliť rozdiel medzi verejným a komerčným poistením </w:t>
      </w:r>
    </w:p>
    <w:p w14:paraId="070C441C" w14:textId="77777777" w:rsidR="00403516" w:rsidRPr="007D07B7" w:rsidRDefault="00403516" w:rsidP="00403516">
      <w:pPr>
        <w:spacing w:line="276" w:lineRule="auto"/>
      </w:pPr>
      <w:r w:rsidRPr="007D07B7">
        <w:t>Vysvetliť základný účel verejného poistenia.</w:t>
      </w:r>
    </w:p>
    <w:p w14:paraId="7C9D8E7B" w14:textId="77777777" w:rsidR="00403516" w:rsidRPr="007D07B7" w:rsidRDefault="00403516" w:rsidP="00403516">
      <w:pPr>
        <w:spacing w:line="276" w:lineRule="auto"/>
      </w:pPr>
      <w:r w:rsidRPr="007D07B7">
        <w:t>Charakterizovať zdravotné poistenie, sociálne poistenie a v rámci neho predovšetkým</w:t>
      </w:r>
    </w:p>
    <w:p w14:paraId="436FFA3F" w14:textId="77777777" w:rsidR="00403516" w:rsidRPr="007D07B7" w:rsidRDefault="00403516" w:rsidP="00403516">
      <w:pPr>
        <w:spacing w:line="276" w:lineRule="auto"/>
      </w:pPr>
      <w:r w:rsidRPr="007D07B7">
        <w:t>nemocenské poistenie, dôchodkové poistenie, úrazové poistenie a poistenie</w:t>
      </w:r>
    </w:p>
    <w:p w14:paraId="381BB0FE" w14:textId="39E01C94" w:rsidR="00090285" w:rsidRPr="007D07B7" w:rsidRDefault="00403516" w:rsidP="00403516">
      <w:pPr>
        <w:spacing w:line="276" w:lineRule="auto"/>
      </w:pPr>
      <w:r w:rsidRPr="007D07B7">
        <w:t>v nezamestnanosti.</w:t>
      </w:r>
    </w:p>
    <w:p w14:paraId="6E82CE9B" w14:textId="77777777" w:rsidR="00696964" w:rsidRDefault="00696964" w:rsidP="00047A1A">
      <w:pPr>
        <w:spacing w:line="276" w:lineRule="auto"/>
      </w:pPr>
    </w:p>
    <w:p w14:paraId="32542B59" w14:textId="77777777" w:rsidR="00696964" w:rsidRDefault="00696964" w:rsidP="00047A1A">
      <w:pPr>
        <w:spacing w:line="276" w:lineRule="auto"/>
      </w:pPr>
      <w:r w:rsidRPr="00696964">
        <w:rPr>
          <w:b/>
          <w:bCs/>
        </w:rPr>
        <w:t>Čiastková kompetencia 3</w:t>
      </w:r>
      <w:r>
        <w:t xml:space="preserve"> </w:t>
      </w:r>
    </w:p>
    <w:p w14:paraId="0557742D" w14:textId="77777777" w:rsidR="00696964" w:rsidRDefault="00696964" w:rsidP="00047A1A">
      <w:pPr>
        <w:spacing w:line="276" w:lineRule="auto"/>
      </w:pPr>
      <w:r w:rsidRPr="00696964">
        <w:rPr>
          <w:b/>
          <w:bCs/>
          <w:i/>
          <w:iCs/>
          <w:color w:val="2F5496" w:themeColor="accent1" w:themeShade="BF"/>
        </w:rPr>
        <w:t>Charakterizovať komerčné poistenie</w:t>
      </w:r>
      <w:r>
        <w:t xml:space="preserve"> </w:t>
      </w:r>
    </w:p>
    <w:p w14:paraId="683D7835" w14:textId="77777777" w:rsidR="00403516" w:rsidRPr="007D07B7" w:rsidRDefault="00403516" w:rsidP="00403516">
      <w:pPr>
        <w:spacing w:line="276" w:lineRule="auto"/>
      </w:pPr>
      <w:r w:rsidRPr="007D07B7">
        <w:t>Rozoznať hlavné typy poistenia motorových vozidiel.</w:t>
      </w:r>
    </w:p>
    <w:p w14:paraId="19398616" w14:textId="77777777" w:rsidR="00403516" w:rsidRPr="007D07B7" w:rsidRDefault="00403516" w:rsidP="00403516">
      <w:pPr>
        <w:spacing w:line="276" w:lineRule="auto"/>
      </w:pPr>
      <w:r w:rsidRPr="007D07B7">
        <w:t>Vysvetliť rozdiel medzi poistením nehnuteľnosti (bytu, resp. domu) a poistením domácnosti</w:t>
      </w:r>
    </w:p>
    <w:p w14:paraId="63CBC1C4" w14:textId="4ED9C4FF" w:rsidR="00403516" w:rsidRPr="00090285" w:rsidRDefault="00403516" w:rsidP="00403516">
      <w:pPr>
        <w:spacing w:line="276" w:lineRule="auto"/>
        <w:rPr>
          <w:b/>
          <w:bCs/>
        </w:rPr>
      </w:pPr>
      <w:r w:rsidRPr="007D07B7">
        <w:t>(zariadenia).</w:t>
      </w:r>
      <w:r>
        <w:cr/>
      </w:r>
    </w:p>
    <w:p w14:paraId="365DDBF4" w14:textId="58BD638B" w:rsidR="00BF784A" w:rsidRPr="000D0073" w:rsidRDefault="00E031EF" w:rsidP="000D0073">
      <w:pPr>
        <w:pStyle w:val="Nadpis1"/>
        <w:keepLines w:val="0"/>
        <w:numPr>
          <w:ilvl w:val="0"/>
          <w:numId w:val="20"/>
        </w:numPr>
        <w:spacing w:after="60"/>
        <w:rPr>
          <w:b w:val="0"/>
        </w:rPr>
      </w:pPr>
      <w:r>
        <w:t>V</w:t>
      </w:r>
      <w:r w:rsidR="00AE6D81" w:rsidRPr="00AE6D81">
        <w:t>ýchovn</w:t>
      </w:r>
      <w:r>
        <w:t>é</w:t>
      </w:r>
      <w:r w:rsidR="00AE6D81" w:rsidRPr="00AE6D81">
        <w:t xml:space="preserve"> a vzdelávac</w:t>
      </w:r>
      <w:r>
        <w:t>ie</w:t>
      </w:r>
      <w:r w:rsidR="00AE6D81" w:rsidRPr="00AE6D81">
        <w:t xml:space="preserve"> stratégi</w:t>
      </w:r>
      <w:r>
        <w:t>e</w:t>
      </w:r>
    </w:p>
    <w:p w14:paraId="3FAF93D1" w14:textId="77777777" w:rsidR="00C9353B" w:rsidRPr="00C9353B" w:rsidRDefault="00C9353B" w:rsidP="00C9353B"/>
    <w:p w14:paraId="373C71DA" w14:textId="14F0095C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učenie</w:t>
      </w:r>
    </w:p>
    <w:p w14:paraId="24E87989" w14:textId="513EA74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žiakov vyhľadávať, triediť a prepájať informácie (internetové zdroje)</w:t>
      </w:r>
    </w:p>
    <w:p w14:paraId="058B3F3C" w14:textId="61B494EC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podnecujeme ich k samostatnému uvažovaniu a hodnoteniu</w:t>
      </w:r>
    </w:p>
    <w:p w14:paraId="4A0598B1" w14:textId="57A3D56A" w:rsidR="00BF784A" w:rsidRPr="00BF784A" w:rsidRDefault="00BF784A" w:rsidP="00BF784A">
      <w:pPr>
        <w:pStyle w:val="Odsekzoznamu"/>
        <w:numPr>
          <w:ilvl w:val="0"/>
          <w:numId w:val="13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</w:t>
      </w:r>
      <w:r w:rsidR="00021E79">
        <w:rPr>
          <w:sz w:val="24"/>
          <w:szCs w:val="24"/>
        </w:rPr>
        <w:t>e</w:t>
      </w:r>
      <w:r w:rsidRPr="00BF784A">
        <w:rPr>
          <w:sz w:val="24"/>
          <w:szCs w:val="24"/>
        </w:rPr>
        <w:t>me žiakov k sebavzdelávaniu</w:t>
      </w:r>
    </w:p>
    <w:p w14:paraId="53BFAB78" w14:textId="13FF319C" w:rsidR="00BF784A" w:rsidRPr="00BF784A" w:rsidRDefault="00BF784A" w:rsidP="00021E79">
      <w:pPr>
        <w:pStyle w:val="Odsekzoznamu"/>
        <w:numPr>
          <w:ilvl w:val="0"/>
          <w:numId w:val="13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sú vedení k uvedomeniu si svojich schopností argumentovať</w:t>
      </w:r>
    </w:p>
    <w:p w14:paraId="7B220D61" w14:textId="1353192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na riešenie problémov</w:t>
      </w:r>
    </w:p>
    <w:p w14:paraId="64684CEE" w14:textId="4350C3F7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zaraďujeme metódy, prostredníctvom ktorých žiaci sami dochádzajú k záverom a riešeniam</w:t>
      </w:r>
    </w:p>
    <w:p w14:paraId="105C28B2" w14:textId="58EFC7E9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žiaci obhajujú svoje názory a závery</w:t>
      </w:r>
    </w:p>
    <w:p w14:paraId="3A91ED29" w14:textId="6755277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približujeme žiakom bežný život a jeho problémy</w:t>
      </w:r>
    </w:p>
    <w:p w14:paraId="0B441617" w14:textId="37ABAC9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zdokonaľuje svoju schopnosť vnímať problém v širších súvislostiach</w:t>
      </w:r>
    </w:p>
    <w:p w14:paraId="4E101BD0" w14:textId="731D0F3A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komunikatívn</w:t>
      </w:r>
      <w:r>
        <w:rPr>
          <w:i/>
          <w:iCs/>
        </w:rPr>
        <w:t>e</w:t>
      </w:r>
    </w:p>
    <w:p w14:paraId="5B07E1E3" w14:textId="3D43D2A7" w:rsidR="00BF784A" w:rsidRPr="00BF784A" w:rsidRDefault="00021E79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v</w:t>
      </w:r>
      <w:r w:rsidR="00BF784A" w:rsidRPr="00BF784A">
        <w:rPr>
          <w:sz w:val="24"/>
          <w:szCs w:val="24"/>
        </w:rPr>
        <w:t>edieme žiakov k využívaniu rôznych informačných a komunikačných prostriedkov</w:t>
      </w:r>
    </w:p>
    <w:p w14:paraId="5871ADCF" w14:textId="03801BE3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ponúkame dostatok príležitostí na vyjadrenie vlastného názoru</w:t>
      </w:r>
    </w:p>
    <w:p w14:paraId="1C25D111" w14:textId="5FFD7E12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lastRenderedPageBreak/>
        <w:t>učíme žiakov obhajovať vlastný názor, argumentovať, počúvať iných</w:t>
      </w:r>
    </w:p>
    <w:p w14:paraId="71D23E1B" w14:textId="462992C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učíme ich vyjadrovať sa výstižne, v logickom slede</w:t>
      </w:r>
    </w:p>
    <w:p w14:paraId="29A59635" w14:textId="0DE746BE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priestor pre diskusiu a</w:t>
      </w:r>
      <w:r w:rsidR="00021E79">
        <w:rPr>
          <w:sz w:val="24"/>
          <w:szCs w:val="24"/>
        </w:rPr>
        <w:t xml:space="preserve"> </w:t>
      </w:r>
      <w:r w:rsidRPr="00BF784A">
        <w:rPr>
          <w:sz w:val="24"/>
          <w:szCs w:val="24"/>
        </w:rPr>
        <w:t>modelové situácie</w:t>
      </w:r>
    </w:p>
    <w:p w14:paraId="50804798" w14:textId="7A8A5F07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sociálne a personálne</w:t>
      </w:r>
    </w:p>
    <w:p w14:paraId="23EC62E8" w14:textId="39633C85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navodzujeme situácie, ktoré žiakom umožnia účinne spolupracovať v skupinách, skúšať si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v nich rôzne rol</w:t>
      </w:r>
      <w:r w:rsidR="00021E79" w:rsidRPr="00021E79">
        <w:rPr>
          <w:sz w:val="24"/>
          <w:szCs w:val="24"/>
        </w:rPr>
        <w:t>y</w:t>
      </w:r>
    </w:p>
    <w:p w14:paraId="3E9B2504" w14:textId="3AD38E11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prispôsobuje meniacim sa životným a pracovným podmienkam a podľa svojich</w:t>
      </w:r>
    </w:p>
    <w:p w14:paraId="60E7CFE9" w14:textId="0E1D3E48" w:rsidR="00BF784A" w:rsidRPr="00021E79" w:rsidRDefault="00021E79" w:rsidP="00021E79">
      <w:pPr>
        <w:spacing w:line="276" w:lineRule="auto"/>
        <w:ind w:left="360"/>
        <w:jc w:val="both"/>
      </w:pPr>
      <w:r>
        <w:t xml:space="preserve">      </w:t>
      </w:r>
      <w:r w:rsidR="00BF784A" w:rsidRPr="00021E79">
        <w:t>schopností a možností ich aktívne ovplyvňuje</w:t>
      </w:r>
    </w:p>
    <w:p w14:paraId="38200618" w14:textId="2F38328E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sa rozhoduje na základe vlastného úsudku, odoláva spoločenským aj mediálnym tlakom</w:t>
      </w:r>
    </w:p>
    <w:p w14:paraId="3F96A880" w14:textId="63A0BB38" w:rsidR="00BF784A" w:rsidRPr="00BF784A" w:rsidRDefault="00BF784A" w:rsidP="00E77E0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aktívne spolupracuje pri stanovovaní a dosahovaní spoločných cieľov</w:t>
      </w:r>
    </w:p>
    <w:p w14:paraId="11CB11EA" w14:textId="2C2B5C3F" w:rsidR="00BF784A" w:rsidRDefault="00021E79" w:rsidP="00BF784A">
      <w:pPr>
        <w:pStyle w:val="Nadpis2"/>
      </w:pPr>
      <w:r>
        <w:rPr>
          <w:i/>
          <w:iCs/>
        </w:rPr>
        <w:t>k</w:t>
      </w:r>
      <w:r w:rsidR="00BF784A" w:rsidRPr="00BF784A">
        <w:rPr>
          <w:i/>
          <w:iCs/>
        </w:rPr>
        <w:t>ompetenci</w:t>
      </w:r>
      <w:r>
        <w:rPr>
          <w:i/>
          <w:iCs/>
        </w:rPr>
        <w:t>e</w:t>
      </w:r>
      <w:r w:rsidR="00BF784A" w:rsidRPr="00BF784A">
        <w:rPr>
          <w:i/>
          <w:iCs/>
        </w:rPr>
        <w:t xml:space="preserve"> občiansk</w:t>
      </w:r>
      <w:r>
        <w:rPr>
          <w:i/>
          <w:iCs/>
        </w:rPr>
        <w:t>e</w:t>
      </w:r>
    </w:p>
    <w:p w14:paraId="29044BE3" w14:textId="2618CB6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modelové situácie, v ktorých si žiaci osvojujú hranie rôznych rolí, s ktorými sa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môžu v budúcom živote stretnúť</w:t>
      </w:r>
    </w:p>
    <w:p w14:paraId="24E0198F" w14:textId="6B98AEE6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vytvárame príležitosti, aby si žiaci mohli osvojiť praktické skúsenosti v medziľudských</w:t>
      </w:r>
    </w:p>
    <w:p w14:paraId="44415179" w14:textId="09BF7BF4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vzťahoch</w:t>
      </w:r>
    </w:p>
    <w:p w14:paraId="18DF7696" w14:textId="09C4C32B" w:rsidR="00BF784A" w:rsidRPr="00BF784A" w:rsidRDefault="00BF784A" w:rsidP="00021E7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k sledovaniu aktuáln</w:t>
      </w:r>
      <w:r w:rsidR="00021E79">
        <w:rPr>
          <w:sz w:val="24"/>
          <w:szCs w:val="24"/>
        </w:rPr>
        <w:t>ej</w:t>
      </w:r>
      <w:r w:rsidRPr="00BF784A">
        <w:rPr>
          <w:sz w:val="24"/>
          <w:szCs w:val="24"/>
        </w:rPr>
        <w:t xml:space="preserve"> situáci</w:t>
      </w:r>
      <w:r w:rsidR="00021E79">
        <w:rPr>
          <w:sz w:val="24"/>
          <w:szCs w:val="24"/>
        </w:rPr>
        <w:t>e v ekonomike</w:t>
      </w:r>
      <w:r w:rsidRPr="00BF784A">
        <w:rPr>
          <w:sz w:val="24"/>
          <w:szCs w:val="24"/>
        </w:rPr>
        <w:t>, dostáva príležitosť na diskusiu</w:t>
      </w:r>
    </w:p>
    <w:p w14:paraId="4FD513FC" w14:textId="3AC23481" w:rsidR="00BF784A" w:rsidRPr="00BF784A" w:rsidRDefault="00021E79" w:rsidP="00BF784A">
      <w:pPr>
        <w:pStyle w:val="Nadpis2"/>
        <w:rPr>
          <w:i/>
          <w:iCs/>
        </w:rPr>
      </w:pPr>
      <w:r>
        <w:rPr>
          <w:i/>
          <w:iCs/>
        </w:rPr>
        <w:t>k</w:t>
      </w:r>
      <w:r w:rsidR="00BF784A" w:rsidRPr="00BF784A">
        <w:rPr>
          <w:i/>
          <w:iCs/>
        </w:rPr>
        <w:t>ompetencie k podnikavosti</w:t>
      </w:r>
    </w:p>
    <w:p w14:paraId="3C6C8CEE" w14:textId="1C751ABA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motivujeme žiakov, aby rozvíjali svoj osobný aj odborný rast</w:t>
      </w:r>
    </w:p>
    <w:p w14:paraId="2B674CE5" w14:textId="32BB5845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posudzuje a hodnotí riziká súvisiace s rozhodovaním v reálnych životných situáciách</w:t>
      </w:r>
    </w:p>
    <w:p w14:paraId="054DE0A7" w14:textId="542C5A7A" w:rsidR="00BF784A" w:rsidRPr="00021E79" w:rsidRDefault="00BF784A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získava a vyhodnocuje informácie o vzdelávaní a pracovných príležitostiach, využíva</w:t>
      </w:r>
      <w:r w:rsidR="00021E79">
        <w:rPr>
          <w:sz w:val="24"/>
          <w:szCs w:val="24"/>
        </w:rPr>
        <w:t xml:space="preserve"> </w:t>
      </w:r>
      <w:r w:rsidRPr="00021E79">
        <w:rPr>
          <w:sz w:val="24"/>
          <w:szCs w:val="24"/>
        </w:rPr>
        <w:t>dostupné zdroje</w:t>
      </w:r>
    </w:p>
    <w:p w14:paraId="17B02097" w14:textId="64012DDB" w:rsidR="00BF784A" w:rsidRPr="00BF784A" w:rsidRDefault="00BF784A" w:rsidP="00BF784A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BF784A">
        <w:rPr>
          <w:sz w:val="24"/>
          <w:szCs w:val="24"/>
        </w:rPr>
        <w:t>žiak rozvíja svoj osobný i odborný potenciál, rozpoznáva a využíva príležitosti pre svoj</w:t>
      </w:r>
    </w:p>
    <w:p w14:paraId="5ADF03FD" w14:textId="59F85F62" w:rsidR="00BF784A" w:rsidRPr="00BF784A" w:rsidRDefault="00BF784A" w:rsidP="00021E79">
      <w:pPr>
        <w:pStyle w:val="Odsekzoznamu"/>
        <w:spacing w:after="240" w:line="276" w:lineRule="auto"/>
        <w:ind w:left="720" w:firstLine="0"/>
        <w:jc w:val="both"/>
        <w:rPr>
          <w:sz w:val="24"/>
          <w:szCs w:val="24"/>
        </w:rPr>
      </w:pPr>
      <w:r w:rsidRPr="00BF784A">
        <w:rPr>
          <w:sz w:val="24"/>
          <w:szCs w:val="24"/>
        </w:rPr>
        <w:t xml:space="preserve">rozvoj v osobnom a </w:t>
      </w:r>
      <w:proofErr w:type="spellStart"/>
      <w:r w:rsidRPr="00BF784A">
        <w:rPr>
          <w:sz w:val="24"/>
          <w:szCs w:val="24"/>
        </w:rPr>
        <w:t>profesnom</w:t>
      </w:r>
      <w:proofErr w:type="spellEnd"/>
      <w:r w:rsidRPr="00BF784A">
        <w:rPr>
          <w:sz w:val="24"/>
          <w:szCs w:val="24"/>
        </w:rPr>
        <w:t xml:space="preserve"> živote</w:t>
      </w:r>
    </w:p>
    <w:p w14:paraId="6A0CDC10" w14:textId="77BF731B" w:rsidR="00021E79" w:rsidRDefault="00021E79" w:rsidP="00021E79">
      <w:pPr>
        <w:pStyle w:val="Nadpis2"/>
        <w:spacing w:before="122"/>
      </w:pPr>
      <w:r>
        <w:rPr>
          <w:i/>
        </w:rPr>
        <w:t>kompetencie v oblasti informačných a komunikačných technológií</w:t>
      </w:r>
    </w:p>
    <w:p w14:paraId="0A633AC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má osvojené základné zručnosti v oblasti IKT ako predpoklad ďalšieho rozvoja,</w:t>
      </w:r>
    </w:p>
    <w:p w14:paraId="1BD31D38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používa základné postupy pri práci s textom a jednoduchou prezentáciou,</w:t>
      </w:r>
    </w:p>
    <w:p w14:paraId="0D14ABEA" w14:textId="77777777" w:rsidR="00021E79" w:rsidRPr="00021E79" w:rsidRDefault="00021E79" w:rsidP="00021E79">
      <w:pPr>
        <w:pStyle w:val="Odsekzoznamu"/>
        <w:numPr>
          <w:ilvl w:val="0"/>
          <w:numId w:val="14"/>
        </w:numPr>
        <w:spacing w:line="276" w:lineRule="auto"/>
        <w:jc w:val="both"/>
        <w:rPr>
          <w:sz w:val="24"/>
          <w:szCs w:val="24"/>
        </w:rPr>
      </w:pPr>
      <w:r w:rsidRPr="00021E79">
        <w:rPr>
          <w:sz w:val="24"/>
          <w:szCs w:val="24"/>
        </w:rPr>
        <w:t>dokáže vytvoriť jednoduché tabuľky a grafy a pracovať v jednoduchom grafickom prostredí</w:t>
      </w:r>
    </w:p>
    <w:p w14:paraId="6D13D6D1" w14:textId="77777777" w:rsidR="00021E79" w:rsidRDefault="00021E79" w:rsidP="00AD3B69">
      <w:pPr>
        <w:pStyle w:val="Odsekzoznamu"/>
        <w:numPr>
          <w:ilvl w:val="0"/>
          <w:numId w:val="14"/>
        </w:numPr>
        <w:spacing w:after="240" w:line="276" w:lineRule="auto"/>
        <w:jc w:val="both"/>
        <w:rPr>
          <w:sz w:val="24"/>
        </w:rPr>
      </w:pPr>
      <w:r w:rsidRPr="00021E79">
        <w:rPr>
          <w:sz w:val="24"/>
          <w:szCs w:val="24"/>
        </w:rPr>
        <w:t>dokáže využívať IKT</w:t>
      </w:r>
      <w:r>
        <w:rPr>
          <w:sz w:val="24"/>
        </w:rPr>
        <w:t xml:space="preserve"> pri</w:t>
      </w:r>
      <w:r>
        <w:rPr>
          <w:spacing w:val="4"/>
          <w:sz w:val="24"/>
        </w:rPr>
        <w:t xml:space="preserve"> </w:t>
      </w:r>
      <w:r>
        <w:rPr>
          <w:sz w:val="24"/>
        </w:rPr>
        <w:t>vzdelávaní,</w:t>
      </w:r>
    </w:p>
    <w:p w14:paraId="0628EDD9" w14:textId="77777777" w:rsidR="00021E79" w:rsidRDefault="00021E79" w:rsidP="00021E79">
      <w:pPr>
        <w:pStyle w:val="Nadpis2"/>
        <w:spacing w:before="124"/>
      </w:pPr>
      <w:r>
        <w:rPr>
          <w:i/>
        </w:rPr>
        <w:t>kompetencia k celoživotnému učeniu sa – učiť sa učiť</w:t>
      </w:r>
    </w:p>
    <w:p w14:paraId="6B395C8B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uvedomuje si potrebu svojho autonómneho učenia sa ako prostriedku sebarealizácie a osobného rozvoja,</w:t>
      </w:r>
    </w:p>
    <w:p w14:paraId="12A041FA" w14:textId="77777777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reflektovať proces vlastného učenia sa a myslenia pri získavaní a spracovávaní nových poznatkov a informácií a uplatňuje rôzne stratégie učenia sa,</w:t>
      </w:r>
    </w:p>
    <w:p w14:paraId="290FC281" w14:textId="6E1FD689" w:rsidR="00021E79" w:rsidRPr="00021E7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  <w:szCs w:val="24"/>
        </w:rPr>
      </w:pPr>
      <w:r w:rsidRPr="00021E79">
        <w:rPr>
          <w:sz w:val="24"/>
          <w:szCs w:val="24"/>
        </w:rPr>
        <w:t>dokáže kriticky zhodnotiť informácie a ich zdroj, tvorivo ich spracovať a využívať,</w:t>
      </w:r>
    </w:p>
    <w:p w14:paraId="7EBDAB23" w14:textId="281BD023" w:rsidR="00AE6D81" w:rsidRPr="00E77E09" w:rsidRDefault="00021E79" w:rsidP="00E77E09">
      <w:pPr>
        <w:pStyle w:val="Odsekzoznamu"/>
        <w:numPr>
          <w:ilvl w:val="0"/>
          <w:numId w:val="14"/>
        </w:numPr>
        <w:spacing w:line="276" w:lineRule="auto"/>
        <w:rPr>
          <w:sz w:val="24"/>
        </w:rPr>
      </w:pPr>
      <w:r w:rsidRPr="00021E79">
        <w:rPr>
          <w:sz w:val="24"/>
          <w:szCs w:val="24"/>
        </w:rPr>
        <w:t>kriticky hodnotí svoj pokrok, prijíma spätnú väzbu a uvedomuje si svoje ďalšie rozvojové</w:t>
      </w:r>
      <w:r>
        <w:rPr>
          <w:sz w:val="24"/>
        </w:rPr>
        <w:t xml:space="preserve"> možnosti</w:t>
      </w:r>
      <w:r w:rsidR="00AD3B69">
        <w:rPr>
          <w:sz w:val="24"/>
        </w:rPr>
        <w:t>.</w:t>
      </w:r>
    </w:p>
    <w:p w14:paraId="4F51F409" w14:textId="77777777" w:rsidR="00AE6D81" w:rsidRP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lastRenderedPageBreak/>
        <w:t>Stratégi</w:t>
      </w:r>
      <w:r w:rsidR="00011D74">
        <w:t>e</w:t>
      </w:r>
      <w:r w:rsidRPr="00AE6D81">
        <w:t xml:space="preserve"> vyučovania</w:t>
      </w:r>
    </w:p>
    <w:p w14:paraId="160BDE01" w14:textId="77777777" w:rsidR="00011D74" w:rsidRDefault="00AE6D81" w:rsidP="00011D74">
      <w:pPr>
        <w:spacing w:before="240" w:after="240"/>
      </w:pPr>
      <w:r>
        <w:t>Pri vyučovaní sa budú využívať nasledovné metódy a formy vyučovania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3"/>
        <w:gridCol w:w="4602"/>
      </w:tblGrid>
      <w:tr w:rsidR="00AE6D81" w14:paraId="4FF721CD" w14:textId="77777777" w:rsidTr="00ED5BFC">
        <w:trPr>
          <w:trHeight w:val="624"/>
        </w:trPr>
        <w:tc>
          <w:tcPr>
            <w:tcW w:w="4605" w:type="dxa"/>
            <w:shd w:val="clear" w:color="auto" w:fill="BDD6EE" w:themeFill="accent5" w:themeFillTint="66"/>
            <w:vAlign w:val="center"/>
          </w:tcPr>
          <w:p w14:paraId="605092F2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Metódy</w:t>
            </w:r>
          </w:p>
        </w:tc>
        <w:tc>
          <w:tcPr>
            <w:tcW w:w="4605" w:type="dxa"/>
            <w:shd w:val="clear" w:color="auto" w:fill="BDD6EE" w:themeFill="accent5" w:themeFillTint="66"/>
            <w:vAlign w:val="center"/>
          </w:tcPr>
          <w:p w14:paraId="0E222BCD" w14:textId="77777777" w:rsidR="00AE6D81" w:rsidRPr="00AE6D81" w:rsidRDefault="00AE6D81" w:rsidP="00FB553D">
            <w:pPr>
              <w:jc w:val="center"/>
              <w:rPr>
                <w:b/>
              </w:rPr>
            </w:pPr>
            <w:r w:rsidRPr="00AE6D81">
              <w:rPr>
                <w:b/>
              </w:rPr>
              <w:t>Formy práce</w:t>
            </w:r>
          </w:p>
        </w:tc>
      </w:tr>
      <w:tr w:rsidR="00AE6D81" w14:paraId="5D754221" w14:textId="77777777" w:rsidTr="008F5FF9">
        <w:trPr>
          <w:trHeight w:val="2015"/>
        </w:trPr>
        <w:tc>
          <w:tcPr>
            <w:tcW w:w="4605" w:type="dxa"/>
          </w:tcPr>
          <w:p w14:paraId="56D89681" w14:textId="77777777" w:rsidR="00AE6D81" w:rsidRPr="00AE6D81" w:rsidRDefault="00AE6D81" w:rsidP="00FB553D"/>
          <w:p w14:paraId="4E12B552" w14:textId="77777777" w:rsidR="00AE6D81" w:rsidRPr="00AE6D81" w:rsidRDefault="00AE6D81" w:rsidP="00FB553D">
            <w:proofErr w:type="spellStart"/>
            <w:r w:rsidRPr="00094CE4">
              <w:rPr>
                <w:b/>
                <w:bCs/>
              </w:rPr>
              <w:t>Informačno</w:t>
            </w:r>
            <w:proofErr w:type="spellEnd"/>
            <w:r w:rsidRPr="00094CE4">
              <w:rPr>
                <w:b/>
                <w:bCs/>
              </w:rPr>
              <w:t xml:space="preserve"> – receptívna</w:t>
            </w:r>
            <w:r w:rsidRPr="00AE6D81">
              <w:t xml:space="preserve"> – výklad </w:t>
            </w:r>
          </w:p>
          <w:p w14:paraId="3EC2D831" w14:textId="77777777" w:rsidR="00AE6D81" w:rsidRPr="00AE6D81" w:rsidRDefault="00AE6D81" w:rsidP="00FB553D">
            <w:r w:rsidRPr="00094CE4">
              <w:rPr>
                <w:b/>
                <w:bCs/>
              </w:rPr>
              <w:t>Problémová</w:t>
            </w:r>
            <w:r w:rsidRPr="00AE6D81">
              <w:t xml:space="preserve"> – problémový výklad, metóda riešenia problémových úloh</w:t>
            </w:r>
          </w:p>
          <w:p w14:paraId="53EC9BA1" w14:textId="77777777" w:rsidR="00AE6D81" w:rsidRPr="00AE6D81" w:rsidRDefault="00AE6D81" w:rsidP="00FB553D">
            <w:r w:rsidRPr="00094CE4">
              <w:rPr>
                <w:b/>
                <w:bCs/>
              </w:rPr>
              <w:t xml:space="preserve">Heuristická </w:t>
            </w:r>
            <w:r w:rsidRPr="00AE6D81">
              <w:t>– metóda heuristického rozhovoru, hry ako metódy</w:t>
            </w:r>
          </w:p>
          <w:p w14:paraId="730192A5" w14:textId="11A2C02C" w:rsidR="00AE6D81" w:rsidRPr="00094CE4" w:rsidRDefault="00094CE4" w:rsidP="00FB553D">
            <w:pPr>
              <w:rPr>
                <w:b/>
                <w:bCs/>
              </w:rPr>
            </w:pPr>
            <w:r w:rsidRPr="00094CE4">
              <w:rPr>
                <w:b/>
                <w:bCs/>
              </w:rPr>
              <w:t>T</w:t>
            </w:r>
            <w:r w:rsidR="00AE6D81" w:rsidRPr="00094CE4">
              <w:rPr>
                <w:b/>
                <w:bCs/>
              </w:rPr>
              <w:t>vorb</w:t>
            </w:r>
            <w:r w:rsidRPr="00094CE4">
              <w:rPr>
                <w:b/>
                <w:bCs/>
              </w:rPr>
              <w:t>a</w:t>
            </w:r>
            <w:r w:rsidR="00AE6D81" w:rsidRPr="00094CE4">
              <w:rPr>
                <w:b/>
                <w:bCs/>
              </w:rPr>
              <w:t xml:space="preserve"> diferencovaných úloh</w:t>
            </w:r>
          </w:p>
          <w:p w14:paraId="4DF47DF9" w14:textId="77777777" w:rsidR="00696964" w:rsidRDefault="00696964" w:rsidP="00FB553D">
            <w:r w:rsidRPr="00094CE4">
              <w:rPr>
                <w:b/>
                <w:bCs/>
              </w:rPr>
              <w:t>Inscenačná</w:t>
            </w:r>
            <w:r>
              <w:t xml:space="preserve"> - </w:t>
            </w:r>
            <w:r w:rsidRPr="00696964">
              <w:t>založená na tom, že žiaci prevezmú určené role</w:t>
            </w:r>
            <w:r>
              <w:t>,</w:t>
            </w:r>
            <w:r w:rsidRPr="00696964">
              <w:t xml:space="preserve"> a potom zohrajú situácie, do ktorých sa postavy (charakterizované týmito rolami) dostávajú.</w:t>
            </w:r>
          </w:p>
          <w:p w14:paraId="127EA27B" w14:textId="77777777" w:rsidR="00655361" w:rsidRDefault="00094CE4" w:rsidP="00655361">
            <w:r w:rsidRPr="00094CE4">
              <w:rPr>
                <w:b/>
                <w:bCs/>
              </w:rPr>
              <w:t>Brainstorming</w:t>
            </w:r>
            <w:r>
              <w:t xml:space="preserve"> - </w:t>
            </w:r>
            <w:r w:rsidRPr="00094CE4">
              <w:t>založen</w:t>
            </w:r>
            <w:r>
              <w:t>á</w:t>
            </w:r>
            <w:r w:rsidRPr="00094CE4">
              <w:t xml:space="preserve"> na skupinovom riešení, ktorá má uľahčiť generovanie kreatívnej stratégie.</w:t>
            </w:r>
          </w:p>
          <w:p w14:paraId="371B426F" w14:textId="4E71C90C" w:rsidR="001B7860" w:rsidRPr="00AE6D81" w:rsidRDefault="001B7860" w:rsidP="00655361">
            <w:r w:rsidRPr="001B7860">
              <w:rPr>
                <w:b/>
                <w:bCs/>
              </w:rPr>
              <w:t>Projekt</w:t>
            </w:r>
            <w:r>
              <w:t xml:space="preserve"> – aktívne zapojenie žiakov do poznávacieho procesu</w:t>
            </w:r>
          </w:p>
        </w:tc>
        <w:tc>
          <w:tcPr>
            <w:tcW w:w="4605" w:type="dxa"/>
          </w:tcPr>
          <w:p w14:paraId="2BD07916" w14:textId="77777777" w:rsidR="00AE6D81" w:rsidRPr="00AE6D81" w:rsidRDefault="00AE6D81" w:rsidP="00FB553D"/>
          <w:p w14:paraId="77C215E2" w14:textId="77777777" w:rsidR="00AE6D81" w:rsidRPr="00AE6D81" w:rsidRDefault="00AE6D81" w:rsidP="00FB553D"/>
          <w:p w14:paraId="6BCE7795" w14:textId="77777777" w:rsidR="00AE6D81" w:rsidRPr="00AE6D81" w:rsidRDefault="00AE6D81" w:rsidP="00FB553D">
            <w:r w:rsidRPr="00AE6D81">
              <w:t>Frontálna a individuálna práca žiakov</w:t>
            </w:r>
          </w:p>
          <w:p w14:paraId="6ACE9253" w14:textId="77777777" w:rsidR="00AE6D81" w:rsidRPr="00AE6D81" w:rsidRDefault="00AE6D81" w:rsidP="00FB553D">
            <w:r w:rsidRPr="00AE6D81">
              <w:t xml:space="preserve">Skupinová práca žiakov </w:t>
            </w:r>
          </w:p>
          <w:p w14:paraId="11D07C75" w14:textId="77777777" w:rsidR="00AE6D81" w:rsidRPr="00AE6D81" w:rsidRDefault="00AE6D81" w:rsidP="00FB553D">
            <w:r w:rsidRPr="00AE6D81">
              <w:t>Práca s učebnicou a odbornou literatúrou</w:t>
            </w:r>
          </w:p>
          <w:p w14:paraId="06434330" w14:textId="33151811" w:rsidR="00AE6D81" w:rsidRPr="00AE6D81" w:rsidRDefault="00AE6D81" w:rsidP="00FB553D">
            <w:r w:rsidRPr="00AE6D81">
              <w:t>Práca s </w:t>
            </w:r>
            <w:r w:rsidR="00094CE4">
              <w:t>internetom</w:t>
            </w:r>
          </w:p>
        </w:tc>
      </w:tr>
    </w:tbl>
    <w:p w14:paraId="4A86AE86" w14:textId="77777777" w:rsidR="00AE6D81" w:rsidRDefault="00AE6D81" w:rsidP="00AE6D81">
      <w:pPr>
        <w:rPr>
          <w:b/>
          <w:sz w:val="20"/>
          <w:szCs w:val="28"/>
        </w:rPr>
      </w:pPr>
    </w:p>
    <w:p w14:paraId="2BE23800" w14:textId="77777777" w:rsidR="00AE6D81" w:rsidRDefault="00AE6D81" w:rsidP="00E031EF">
      <w:pPr>
        <w:pStyle w:val="Nadpis1"/>
        <w:keepLines w:val="0"/>
        <w:numPr>
          <w:ilvl w:val="0"/>
          <w:numId w:val="20"/>
        </w:numPr>
        <w:spacing w:after="60"/>
      </w:pPr>
      <w:r w:rsidRPr="00AE6D81">
        <w:t>Učebné zdroje</w:t>
      </w:r>
    </w:p>
    <w:p w14:paraId="0B859B8B" w14:textId="77777777" w:rsidR="00094CE4" w:rsidRDefault="00094CE4" w:rsidP="00094CE4">
      <w:pPr>
        <w:rPr>
          <w:rFonts w:eastAsiaTheme="majorEastAsia" w:cstheme="majorBidi"/>
          <w:b/>
          <w:color w:val="2F5496" w:themeColor="accent1" w:themeShade="BF"/>
          <w:sz w:val="32"/>
          <w:szCs w:val="32"/>
        </w:rPr>
      </w:pPr>
    </w:p>
    <w:p w14:paraId="3CAEF667" w14:textId="01DC9155" w:rsidR="00094CE4" w:rsidRDefault="00094CE4" w:rsidP="00094CE4">
      <w:r>
        <w:t xml:space="preserve">Národný štandard finančnej gramotnosti – verzia 1.2, </w:t>
      </w:r>
      <w:proofErr w:type="spellStart"/>
      <w:r w:rsidR="00A579C0">
        <w:t>MŠVVaM</w:t>
      </w:r>
      <w:proofErr w:type="spellEnd"/>
      <w:r w:rsidR="00A579C0">
        <w:t>, Bratislava, 2017</w:t>
      </w:r>
    </w:p>
    <w:p w14:paraId="44E81E51" w14:textId="4E7F3351" w:rsidR="00094CE4" w:rsidRDefault="00000000" w:rsidP="00094CE4">
      <w:hyperlink r:id="rId7" w:history="1">
        <w:r w:rsidR="00094CE4" w:rsidRPr="00094CE4">
          <w:rPr>
            <w:rStyle w:val="Hypertextovprepojenie"/>
          </w:rPr>
          <w:t>https://www.minedu.sk/17597-sk/narodny-standard-financnej-gramotnosti/</w:t>
        </w:r>
      </w:hyperlink>
    </w:p>
    <w:p w14:paraId="5F37A309" w14:textId="28ABB771" w:rsidR="00094CE4" w:rsidRDefault="00094CE4" w:rsidP="00A579C0">
      <w:pPr>
        <w:spacing w:before="240"/>
      </w:pPr>
      <w:r>
        <w:t>Odborné texty k jednotlivým témam Národného štandardu finančnej gramotnosti verzia 1.2, ŠPÚ, Bratislava 2018</w:t>
      </w:r>
    </w:p>
    <w:p w14:paraId="7F97B168" w14:textId="5361A3AE" w:rsidR="00094CE4" w:rsidRDefault="00000000" w:rsidP="00094CE4">
      <w:pPr>
        <w:rPr>
          <w:rStyle w:val="Hypertextovprepojenie"/>
        </w:rPr>
      </w:pPr>
      <w:hyperlink r:id="rId8" w:history="1">
        <w:r w:rsidR="00094CE4" w:rsidRPr="00094CE4">
          <w:rPr>
            <w:rStyle w:val="Hypertextovprepojenie"/>
          </w:rPr>
          <w:t>https://www.statpedu.sk/files/sk/metodicky-portal/metodicke-podnety/fg_odborne_texty_1_2.pdf</w:t>
        </w:r>
      </w:hyperlink>
    </w:p>
    <w:p w14:paraId="4B5AA5D1" w14:textId="66E93243" w:rsidR="00A579C0" w:rsidRPr="00A579C0" w:rsidRDefault="00A579C0" w:rsidP="00A579C0">
      <w:pPr>
        <w:spacing w:before="240"/>
        <w:rPr>
          <w:rStyle w:val="Hypertextovprepojenie"/>
          <w:color w:val="auto"/>
          <w:u w:val="none"/>
        </w:rPr>
      </w:pPr>
      <w:r w:rsidRPr="00A579C0">
        <w:rPr>
          <w:rStyle w:val="Hypertextovprepojenie"/>
          <w:color w:val="auto"/>
          <w:u w:val="none"/>
        </w:rPr>
        <w:t>Finančná gramotnosť 2</w:t>
      </w:r>
      <w:r>
        <w:rPr>
          <w:rStyle w:val="Hypertextovprepojenie"/>
          <w:color w:val="auto"/>
          <w:u w:val="none"/>
        </w:rPr>
        <w:t>, NIVAM, Bratislava, 2023</w:t>
      </w:r>
    </w:p>
    <w:p w14:paraId="3794B3E5" w14:textId="3C6D42C8" w:rsidR="00A579C0" w:rsidRDefault="00000000" w:rsidP="00A579C0">
      <w:pPr>
        <w:rPr>
          <w:rStyle w:val="Hypertextovprepojenie"/>
        </w:rPr>
      </w:pPr>
      <w:hyperlink r:id="rId9" w:history="1">
        <w:r w:rsidR="00A579C0" w:rsidRPr="00A579C0">
          <w:rPr>
            <w:rStyle w:val="Hypertextovprepojenie"/>
          </w:rPr>
          <w:t>https://nivam.sk/wp-content/uploads/2023/01/Metodicka-prirucka-pre-implementaciu-financnej-gramotnosti-do-vzdelavania-na-2.-stupni-zakladnych-skol.pdf</w:t>
        </w:r>
      </w:hyperlink>
    </w:p>
    <w:p w14:paraId="21D945F1" w14:textId="5712F2C2" w:rsidR="00A579C0" w:rsidRDefault="00A579C0" w:rsidP="00A579C0">
      <w:pPr>
        <w:spacing w:before="240"/>
      </w:pPr>
      <w:r w:rsidRPr="00A579C0">
        <w:rPr>
          <w:rStyle w:val="Hypertextovprepojenie"/>
          <w:color w:val="auto"/>
          <w:u w:val="none"/>
        </w:rPr>
        <w:t>Metodika pre zapracovanie a aplikáciu tém finančnej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gramotnosti do školských vzdelávacích programov</w:t>
      </w:r>
      <w:r>
        <w:rPr>
          <w:rStyle w:val="Hypertextovprepojenie"/>
          <w:color w:val="auto"/>
          <w:u w:val="none"/>
        </w:rPr>
        <w:t xml:space="preserve"> </w:t>
      </w:r>
      <w:r w:rsidRPr="00A579C0">
        <w:rPr>
          <w:rStyle w:val="Hypertextovprepojenie"/>
          <w:color w:val="auto"/>
          <w:u w:val="none"/>
        </w:rPr>
        <w:t>základných škôl a stredných škôl</w:t>
      </w:r>
      <w:r>
        <w:rPr>
          <w:rStyle w:val="Hypertextovprepojenie"/>
          <w:color w:val="auto"/>
          <w:u w:val="none"/>
        </w:rPr>
        <w:t xml:space="preserve">, </w:t>
      </w:r>
      <w:proofErr w:type="spellStart"/>
      <w:r>
        <w:t>MŠVVaM</w:t>
      </w:r>
      <w:proofErr w:type="spellEnd"/>
      <w:r>
        <w:t>, Bratislava, 2018</w:t>
      </w:r>
    </w:p>
    <w:p w14:paraId="15DA3285" w14:textId="1ED0E5F7" w:rsidR="00A579C0" w:rsidRDefault="00000000" w:rsidP="00A579C0">
      <w:pPr>
        <w:rPr>
          <w:rStyle w:val="Hypertextovprepojenie"/>
        </w:rPr>
      </w:pPr>
      <w:hyperlink r:id="rId10" w:history="1">
        <w:r w:rsidR="00A579C0" w:rsidRPr="00A579C0">
          <w:rPr>
            <w:rStyle w:val="Hypertextovprepojenie"/>
          </w:rPr>
          <w:t>https://www.statpedu.sk/files/sk/metodicky-portal/metodicke-podnety/fg_metodika_01092018.pdf</w:t>
        </w:r>
      </w:hyperlink>
    </w:p>
    <w:p w14:paraId="172CE6A6" w14:textId="10487AE3" w:rsidR="00A579C0" w:rsidRDefault="00943B03" w:rsidP="00A579C0">
      <w:pPr>
        <w:rPr>
          <w:rStyle w:val="Hypertextovprepojenie"/>
        </w:rPr>
      </w:pPr>
      <w:r>
        <w:t>Korupcia. Námety na vyučovanie pre základné a stredné školy, ŠPÚ, 2016</w:t>
      </w:r>
    </w:p>
    <w:p w14:paraId="7E8C3D7F" w14:textId="236CDB67" w:rsidR="00A579C0" w:rsidRPr="00A579C0" w:rsidRDefault="00000000" w:rsidP="00A579C0">
      <w:hyperlink r:id="rId11" w:history="1">
        <w:r w:rsidR="00A579C0" w:rsidRPr="00A579C0">
          <w:rPr>
            <w:rStyle w:val="Hypertextovprepojenie"/>
          </w:rPr>
          <w:t>https://www.statpedu.sk/files/articles/nove_dokumenty/aktuality/korupcia_namety-vyucovanie_dolozka.pdf</w:t>
        </w:r>
      </w:hyperlink>
    </w:p>
    <w:sectPr w:rsidR="00A579C0" w:rsidRPr="00A579C0" w:rsidSect="00300F8F">
      <w:footerReference w:type="default" r:id="rId12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4CE42" w14:textId="77777777" w:rsidR="00300F8F" w:rsidRDefault="00300F8F" w:rsidP="00486557">
      <w:r>
        <w:separator/>
      </w:r>
    </w:p>
  </w:endnote>
  <w:endnote w:type="continuationSeparator" w:id="0">
    <w:p w14:paraId="76A2D541" w14:textId="77777777" w:rsidR="00300F8F" w:rsidRDefault="00300F8F" w:rsidP="00486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2969361"/>
      <w:docPartObj>
        <w:docPartGallery w:val="Page Numbers (Bottom of Page)"/>
        <w:docPartUnique/>
      </w:docPartObj>
    </w:sdtPr>
    <w:sdtContent>
      <w:p w14:paraId="55D1BB22" w14:textId="77777777" w:rsidR="00486557" w:rsidRDefault="0048655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4F15F" w14:textId="77777777" w:rsidR="00486557" w:rsidRDefault="0048655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22833" w14:textId="77777777" w:rsidR="00300F8F" w:rsidRDefault="00300F8F" w:rsidP="00486557">
      <w:r>
        <w:separator/>
      </w:r>
    </w:p>
  </w:footnote>
  <w:footnote w:type="continuationSeparator" w:id="0">
    <w:p w14:paraId="7DC0222E" w14:textId="77777777" w:rsidR="00300F8F" w:rsidRDefault="00300F8F" w:rsidP="00486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B6C4B"/>
    <w:multiLevelType w:val="hybridMultilevel"/>
    <w:tmpl w:val="4144413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23728"/>
    <w:multiLevelType w:val="hybridMultilevel"/>
    <w:tmpl w:val="5A82B954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A22E5"/>
    <w:multiLevelType w:val="hybridMultilevel"/>
    <w:tmpl w:val="9B024C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1ED4"/>
    <w:multiLevelType w:val="hybridMultilevel"/>
    <w:tmpl w:val="E780B62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E437A"/>
    <w:multiLevelType w:val="hybridMultilevel"/>
    <w:tmpl w:val="6996023A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20B2C"/>
    <w:multiLevelType w:val="hybridMultilevel"/>
    <w:tmpl w:val="9B024C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43981"/>
    <w:multiLevelType w:val="hybridMultilevel"/>
    <w:tmpl w:val="A77835C6"/>
    <w:lvl w:ilvl="0" w:tplc="62A26450">
      <w:numFmt w:val="bullet"/>
      <w:lvlText w:val=""/>
      <w:lvlJc w:val="left"/>
      <w:pPr>
        <w:ind w:left="682" w:hanging="567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EA7C15DE">
      <w:numFmt w:val="bullet"/>
      <w:lvlText w:val="•"/>
      <w:lvlJc w:val="left"/>
      <w:pPr>
        <w:ind w:left="680" w:hanging="567"/>
      </w:pPr>
      <w:rPr>
        <w:rFonts w:hint="default"/>
        <w:lang w:val="sk-SK" w:eastAsia="sk-SK" w:bidi="sk-SK"/>
      </w:rPr>
    </w:lvl>
    <w:lvl w:ilvl="2" w:tplc="60AE5922">
      <w:numFmt w:val="bullet"/>
      <w:lvlText w:val="•"/>
      <w:lvlJc w:val="left"/>
      <w:pPr>
        <w:ind w:left="1638" w:hanging="567"/>
      </w:pPr>
      <w:rPr>
        <w:rFonts w:hint="default"/>
        <w:lang w:val="sk-SK" w:eastAsia="sk-SK" w:bidi="sk-SK"/>
      </w:rPr>
    </w:lvl>
    <w:lvl w:ilvl="3" w:tplc="F654A1FE">
      <w:numFmt w:val="bullet"/>
      <w:lvlText w:val="•"/>
      <w:lvlJc w:val="left"/>
      <w:pPr>
        <w:ind w:left="2596" w:hanging="567"/>
      </w:pPr>
      <w:rPr>
        <w:rFonts w:hint="default"/>
        <w:lang w:val="sk-SK" w:eastAsia="sk-SK" w:bidi="sk-SK"/>
      </w:rPr>
    </w:lvl>
    <w:lvl w:ilvl="4" w:tplc="2892C5B8">
      <w:numFmt w:val="bullet"/>
      <w:lvlText w:val="•"/>
      <w:lvlJc w:val="left"/>
      <w:pPr>
        <w:ind w:left="3555" w:hanging="567"/>
      </w:pPr>
      <w:rPr>
        <w:rFonts w:hint="default"/>
        <w:lang w:val="sk-SK" w:eastAsia="sk-SK" w:bidi="sk-SK"/>
      </w:rPr>
    </w:lvl>
    <w:lvl w:ilvl="5" w:tplc="C776946A">
      <w:numFmt w:val="bullet"/>
      <w:lvlText w:val="•"/>
      <w:lvlJc w:val="left"/>
      <w:pPr>
        <w:ind w:left="4513" w:hanging="567"/>
      </w:pPr>
      <w:rPr>
        <w:rFonts w:hint="default"/>
        <w:lang w:val="sk-SK" w:eastAsia="sk-SK" w:bidi="sk-SK"/>
      </w:rPr>
    </w:lvl>
    <w:lvl w:ilvl="6" w:tplc="0AB63774">
      <w:numFmt w:val="bullet"/>
      <w:lvlText w:val="•"/>
      <w:lvlJc w:val="left"/>
      <w:pPr>
        <w:ind w:left="5472" w:hanging="567"/>
      </w:pPr>
      <w:rPr>
        <w:rFonts w:hint="default"/>
        <w:lang w:val="sk-SK" w:eastAsia="sk-SK" w:bidi="sk-SK"/>
      </w:rPr>
    </w:lvl>
    <w:lvl w:ilvl="7" w:tplc="DBDE8780">
      <w:numFmt w:val="bullet"/>
      <w:lvlText w:val="•"/>
      <w:lvlJc w:val="left"/>
      <w:pPr>
        <w:ind w:left="6430" w:hanging="567"/>
      </w:pPr>
      <w:rPr>
        <w:rFonts w:hint="default"/>
        <w:lang w:val="sk-SK" w:eastAsia="sk-SK" w:bidi="sk-SK"/>
      </w:rPr>
    </w:lvl>
    <w:lvl w:ilvl="8" w:tplc="A3E2A694">
      <w:numFmt w:val="bullet"/>
      <w:lvlText w:val="•"/>
      <w:lvlJc w:val="left"/>
      <w:pPr>
        <w:ind w:left="7389" w:hanging="567"/>
      </w:pPr>
      <w:rPr>
        <w:rFonts w:hint="default"/>
        <w:lang w:val="sk-SK" w:eastAsia="sk-SK" w:bidi="sk-SK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552120"/>
    <w:multiLevelType w:val="hybridMultilevel"/>
    <w:tmpl w:val="E3EC521C"/>
    <w:lvl w:ilvl="0" w:tplc="C5642F70">
      <w:numFmt w:val="bullet"/>
      <w:lvlText w:val="-"/>
      <w:lvlJc w:val="left"/>
      <w:pPr>
        <w:tabs>
          <w:tab w:val="num" w:pos="419"/>
        </w:tabs>
        <w:ind w:left="624" w:hanging="227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3B396F"/>
    <w:multiLevelType w:val="hybridMultilevel"/>
    <w:tmpl w:val="27FEA13C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B949AA"/>
    <w:multiLevelType w:val="hybridMultilevel"/>
    <w:tmpl w:val="65804BBA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1F4943"/>
    <w:multiLevelType w:val="hybridMultilevel"/>
    <w:tmpl w:val="81EA6120"/>
    <w:lvl w:ilvl="0" w:tplc="A1B42838">
      <w:numFmt w:val="bullet"/>
      <w:lvlText w:val="•"/>
      <w:lvlJc w:val="left"/>
      <w:pPr>
        <w:ind w:left="476" w:hanging="360"/>
      </w:pPr>
      <w:rPr>
        <w:rFonts w:ascii="Arial" w:eastAsia="Arial" w:hAnsi="Arial" w:cs="Arial" w:hint="default"/>
        <w:spacing w:val="-3"/>
        <w:w w:val="100"/>
        <w:sz w:val="24"/>
        <w:szCs w:val="24"/>
        <w:lang w:val="sk-SK" w:eastAsia="sk-SK" w:bidi="sk-SK"/>
      </w:rPr>
    </w:lvl>
    <w:lvl w:ilvl="1" w:tplc="74847C7C">
      <w:numFmt w:val="bullet"/>
      <w:lvlText w:val="•"/>
      <w:lvlJc w:val="left"/>
      <w:pPr>
        <w:ind w:left="1362" w:hanging="360"/>
      </w:pPr>
      <w:rPr>
        <w:rFonts w:hint="default"/>
        <w:lang w:val="sk-SK" w:eastAsia="sk-SK" w:bidi="sk-SK"/>
      </w:rPr>
    </w:lvl>
    <w:lvl w:ilvl="2" w:tplc="06EC064A">
      <w:numFmt w:val="bullet"/>
      <w:lvlText w:val="•"/>
      <w:lvlJc w:val="left"/>
      <w:pPr>
        <w:ind w:left="2245" w:hanging="360"/>
      </w:pPr>
      <w:rPr>
        <w:rFonts w:hint="default"/>
        <w:lang w:val="sk-SK" w:eastAsia="sk-SK" w:bidi="sk-SK"/>
      </w:rPr>
    </w:lvl>
    <w:lvl w:ilvl="3" w:tplc="C6AAFCEE">
      <w:numFmt w:val="bullet"/>
      <w:lvlText w:val="•"/>
      <w:lvlJc w:val="left"/>
      <w:pPr>
        <w:ind w:left="3127" w:hanging="360"/>
      </w:pPr>
      <w:rPr>
        <w:rFonts w:hint="default"/>
        <w:lang w:val="sk-SK" w:eastAsia="sk-SK" w:bidi="sk-SK"/>
      </w:rPr>
    </w:lvl>
    <w:lvl w:ilvl="4" w:tplc="FCFA8AC6">
      <w:numFmt w:val="bullet"/>
      <w:lvlText w:val="•"/>
      <w:lvlJc w:val="left"/>
      <w:pPr>
        <w:ind w:left="4010" w:hanging="360"/>
      </w:pPr>
      <w:rPr>
        <w:rFonts w:hint="default"/>
        <w:lang w:val="sk-SK" w:eastAsia="sk-SK" w:bidi="sk-SK"/>
      </w:rPr>
    </w:lvl>
    <w:lvl w:ilvl="5" w:tplc="63CC1BB8">
      <w:numFmt w:val="bullet"/>
      <w:lvlText w:val="•"/>
      <w:lvlJc w:val="left"/>
      <w:pPr>
        <w:ind w:left="4893" w:hanging="360"/>
      </w:pPr>
      <w:rPr>
        <w:rFonts w:hint="default"/>
        <w:lang w:val="sk-SK" w:eastAsia="sk-SK" w:bidi="sk-SK"/>
      </w:rPr>
    </w:lvl>
    <w:lvl w:ilvl="6" w:tplc="D3E0B1EA">
      <w:numFmt w:val="bullet"/>
      <w:lvlText w:val="•"/>
      <w:lvlJc w:val="left"/>
      <w:pPr>
        <w:ind w:left="5775" w:hanging="360"/>
      </w:pPr>
      <w:rPr>
        <w:rFonts w:hint="default"/>
        <w:lang w:val="sk-SK" w:eastAsia="sk-SK" w:bidi="sk-SK"/>
      </w:rPr>
    </w:lvl>
    <w:lvl w:ilvl="7" w:tplc="F2E60FA2">
      <w:numFmt w:val="bullet"/>
      <w:lvlText w:val="•"/>
      <w:lvlJc w:val="left"/>
      <w:pPr>
        <w:ind w:left="6658" w:hanging="360"/>
      </w:pPr>
      <w:rPr>
        <w:rFonts w:hint="default"/>
        <w:lang w:val="sk-SK" w:eastAsia="sk-SK" w:bidi="sk-SK"/>
      </w:rPr>
    </w:lvl>
    <w:lvl w:ilvl="8" w:tplc="0F9E766A">
      <w:numFmt w:val="bullet"/>
      <w:lvlText w:val="•"/>
      <w:lvlJc w:val="left"/>
      <w:pPr>
        <w:ind w:left="7541" w:hanging="360"/>
      </w:pPr>
      <w:rPr>
        <w:rFonts w:hint="default"/>
        <w:lang w:val="sk-SK" w:eastAsia="sk-SK" w:bidi="sk-SK"/>
      </w:rPr>
    </w:lvl>
  </w:abstractNum>
  <w:abstractNum w:abstractNumId="12" w15:restartNumberingAfterBreak="0">
    <w:nsid w:val="45DC4DF9"/>
    <w:multiLevelType w:val="hybridMultilevel"/>
    <w:tmpl w:val="5D200C28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FF23AB"/>
    <w:multiLevelType w:val="hybridMultilevel"/>
    <w:tmpl w:val="41085CC8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7A6CEF"/>
    <w:multiLevelType w:val="hybridMultilevel"/>
    <w:tmpl w:val="D3B4552E"/>
    <w:lvl w:ilvl="0" w:tplc="61A8F31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4"/>
        <w:szCs w:val="24"/>
        <w:lang w:val="sk-SK" w:eastAsia="sk-SK" w:bidi="sk-SK"/>
      </w:rPr>
    </w:lvl>
    <w:lvl w:ilvl="1" w:tplc="3912E7CC">
      <w:numFmt w:val="bullet"/>
      <w:lvlText w:val="•"/>
      <w:lvlJc w:val="left"/>
      <w:pPr>
        <w:ind w:left="1686" w:hanging="360"/>
      </w:pPr>
      <w:rPr>
        <w:rFonts w:hint="default"/>
        <w:lang w:val="sk-SK" w:eastAsia="sk-SK" w:bidi="sk-SK"/>
      </w:rPr>
    </w:lvl>
    <w:lvl w:ilvl="2" w:tplc="36B88DD6">
      <w:numFmt w:val="bullet"/>
      <w:lvlText w:val="•"/>
      <w:lvlJc w:val="left"/>
      <w:pPr>
        <w:ind w:left="2533" w:hanging="360"/>
      </w:pPr>
      <w:rPr>
        <w:rFonts w:hint="default"/>
        <w:lang w:val="sk-SK" w:eastAsia="sk-SK" w:bidi="sk-SK"/>
      </w:rPr>
    </w:lvl>
    <w:lvl w:ilvl="3" w:tplc="B5586E32">
      <w:numFmt w:val="bullet"/>
      <w:lvlText w:val="•"/>
      <w:lvlJc w:val="left"/>
      <w:pPr>
        <w:ind w:left="3379" w:hanging="360"/>
      </w:pPr>
      <w:rPr>
        <w:rFonts w:hint="default"/>
        <w:lang w:val="sk-SK" w:eastAsia="sk-SK" w:bidi="sk-SK"/>
      </w:rPr>
    </w:lvl>
    <w:lvl w:ilvl="4" w:tplc="CCBAAE6C">
      <w:numFmt w:val="bullet"/>
      <w:lvlText w:val="•"/>
      <w:lvlJc w:val="left"/>
      <w:pPr>
        <w:ind w:left="4226" w:hanging="360"/>
      </w:pPr>
      <w:rPr>
        <w:rFonts w:hint="default"/>
        <w:lang w:val="sk-SK" w:eastAsia="sk-SK" w:bidi="sk-SK"/>
      </w:rPr>
    </w:lvl>
    <w:lvl w:ilvl="5" w:tplc="004E182C">
      <w:numFmt w:val="bullet"/>
      <w:lvlText w:val="•"/>
      <w:lvlJc w:val="left"/>
      <w:pPr>
        <w:ind w:left="5073" w:hanging="360"/>
      </w:pPr>
      <w:rPr>
        <w:rFonts w:hint="default"/>
        <w:lang w:val="sk-SK" w:eastAsia="sk-SK" w:bidi="sk-SK"/>
      </w:rPr>
    </w:lvl>
    <w:lvl w:ilvl="6" w:tplc="A15CCE12">
      <w:numFmt w:val="bullet"/>
      <w:lvlText w:val="•"/>
      <w:lvlJc w:val="left"/>
      <w:pPr>
        <w:ind w:left="5919" w:hanging="360"/>
      </w:pPr>
      <w:rPr>
        <w:rFonts w:hint="default"/>
        <w:lang w:val="sk-SK" w:eastAsia="sk-SK" w:bidi="sk-SK"/>
      </w:rPr>
    </w:lvl>
    <w:lvl w:ilvl="7" w:tplc="45A66306">
      <w:numFmt w:val="bullet"/>
      <w:lvlText w:val="•"/>
      <w:lvlJc w:val="left"/>
      <w:pPr>
        <w:ind w:left="6766" w:hanging="360"/>
      </w:pPr>
      <w:rPr>
        <w:rFonts w:hint="default"/>
        <w:lang w:val="sk-SK" w:eastAsia="sk-SK" w:bidi="sk-SK"/>
      </w:rPr>
    </w:lvl>
    <w:lvl w:ilvl="8" w:tplc="5DD2A6A0">
      <w:numFmt w:val="bullet"/>
      <w:lvlText w:val="•"/>
      <w:lvlJc w:val="left"/>
      <w:pPr>
        <w:ind w:left="7613" w:hanging="360"/>
      </w:pPr>
      <w:rPr>
        <w:rFonts w:hint="default"/>
        <w:lang w:val="sk-SK" w:eastAsia="sk-SK" w:bidi="sk-SK"/>
      </w:rPr>
    </w:lvl>
  </w:abstractNum>
  <w:abstractNum w:abstractNumId="15" w15:restartNumberingAfterBreak="0">
    <w:nsid w:val="5D485A14"/>
    <w:multiLevelType w:val="hybridMultilevel"/>
    <w:tmpl w:val="EAC8A59E"/>
    <w:lvl w:ilvl="0" w:tplc="03763A20">
      <w:numFmt w:val="bullet"/>
      <w:lvlText w:val="-"/>
      <w:lvlJc w:val="left"/>
      <w:pPr>
        <w:tabs>
          <w:tab w:val="num" w:pos="397"/>
        </w:tabs>
        <w:ind w:left="454" w:hanging="57"/>
      </w:pPr>
      <w:rPr>
        <w:rFonts w:ascii="Arial" w:eastAsia="Times New Roman" w:hAnsi="Arial" w:hint="default"/>
      </w:rPr>
    </w:lvl>
    <w:lvl w:ilvl="1" w:tplc="5EAEC84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D8518F"/>
    <w:multiLevelType w:val="hybridMultilevel"/>
    <w:tmpl w:val="693C9EF0"/>
    <w:lvl w:ilvl="0" w:tplc="39F4BA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02081"/>
    <w:multiLevelType w:val="hybridMultilevel"/>
    <w:tmpl w:val="502869BE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6117"/>
    <w:multiLevelType w:val="hybridMultilevel"/>
    <w:tmpl w:val="9E8A90DE"/>
    <w:lvl w:ilvl="0" w:tplc="4134F0A8">
      <w:start w:val="1"/>
      <w:numFmt w:val="decimal"/>
      <w:lvlText w:val="%1."/>
      <w:lvlJc w:val="left"/>
      <w:pPr>
        <w:ind w:left="720" w:hanging="360"/>
      </w:pPr>
      <w:rPr>
        <w:rFonts w:hint="default"/>
        <w:spacing w:val="-29"/>
        <w:w w:val="1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2116D3"/>
    <w:multiLevelType w:val="hybridMultilevel"/>
    <w:tmpl w:val="DA72E8B0"/>
    <w:lvl w:ilvl="0" w:tplc="C248C3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4286674">
    <w:abstractNumId w:val="6"/>
  </w:num>
  <w:num w:numId="2" w16cid:durableId="769812757">
    <w:abstractNumId w:val="11"/>
  </w:num>
  <w:num w:numId="3" w16cid:durableId="1381514926">
    <w:abstractNumId w:val="14"/>
  </w:num>
  <w:num w:numId="4" w16cid:durableId="1552499861">
    <w:abstractNumId w:val="7"/>
  </w:num>
  <w:num w:numId="5" w16cid:durableId="2035886140">
    <w:abstractNumId w:val="17"/>
  </w:num>
  <w:num w:numId="6" w16cid:durableId="1348021679">
    <w:abstractNumId w:val="8"/>
  </w:num>
  <w:num w:numId="7" w16cid:durableId="1213729967">
    <w:abstractNumId w:val="4"/>
  </w:num>
  <w:num w:numId="8" w16cid:durableId="1229413004">
    <w:abstractNumId w:val="15"/>
  </w:num>
  <w:num w:numId="9" w16cid:durableId="1367877075">
    <w:abstractNumId w:val="18"/>
  </w:num>
  <w:num w:numId="10" w16cid:durableId="853305367">
    <w:abstractNumId w:val="20"/>
  </w:num>
  <w:num w:numId="11" w16cid:durableId="1452243554">
    <w:abstractNumId w:val="12"/>
  </w:num>
  <w:num w:numId="12" w16cid:durableId="2073235440">
    <w:abstractNumId w:val="2"/>
  </w:num>
  <w:num w:numId="13" w16cid:durableId="2075623342">
    <w:abstractNumId w:val="1"/>
  </w:num>
  <w:num w:numId="14" w16cid:durableId="1512451407">
    <w:abstractNumId w:val="16"/>
  </w:num>
  <w:num w:numId="15" w16cid:durableId="1539128922">
    <w:abstractNumId w:val="10"/>
  </w:num>
  <w:num w:numId="16" w16cid:durableId="685790264">
    <w:abstractNumId w:val="9"/>
  </w:num>
  <w:num w:numId="17" w16cid:durableId="628902715">
    <w:abstractNumId w:val="13"/>
  </w:num>
  <w:num w:numId="18" w16cid:durableId="1759445795">
    <w:abstractNumId w:val="3"/>
  </w:num>
  <w:num w:numId="19" w16cid:durableId="1447240105">
    <w:abstractNumId w:val="5"/>
  </w:num>
  <w:num w:numId="20" w16cid:durableId="103809058">
    <w:abstractNumId w:val="19"/>
  </w:num>
  <w:num w:numId="21" w16cid:durableId="132350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4FE"/>
    <w:rsid w:val="00011D74"/>
    <w:rsid w:val="00016763"/>
    <w:rsid w:val="00021E79"/>
    <w:rsid w:val="000460E3"/>
    <w:rsid w:val="0004730C"/>
    <w:rsid w:val="00047A1A"/>
    <w:rsid w:val="00063BE2"/>
    <w:rsid w:val="00090285"/>
    <w:rsid w:val="00094CE4"/>
    <w:rsid w:val="000D0073"/>
    <w:rsid w:val="000D1010"/>
    <w:rsid w:val="000E4729"/>
    <w:rsid w:val="00195AF5"/>
    <w:rsid w:val="001A343C"/>
    <w:rsid w:val="001B7860"/>
    <w:rsid w:val="002677C4"/>
    <w:rsid w:val="00267FCB"/>
    <w:rsid w:val="002945BB"/>
    <w:rsid w:val="00300F8F"/>
    <w:rsid w:val="003A0FC4"/>
    <w:rsid w:val="003C6919"/>
    <w:rsid w:val="003D2D05"/>
    <w:rsid w:val="003E2860"/>
    <w:rsid w:val="00403516"/>
    <w:rsid w:val="00411A0E"/>
    <w:rsid w:val="00445BD3"/>
    <w:rsid w:val="004840E8"/>
    <w:rsid w:val="00486557"/>
    <w:rsid w:val="005777B7"/>
    <w:rsid w:val="00596C03"/>
    <w:rsid w:val="00655361"/>
    <w:rsid w:val="00696964"/>
    <w:rsid w:val="00745E38"/>
    <w:rsid w:val="00753980"/>
    <w:rsid w:val="007A3122"/>
    <w:rsid w:val="007A54FE"/>
    <w:rsid w:val="007B7AF5"/>
    <w:rsid w:val="007C34B1"/>
    <w:rsid w:val="007D07B7"/>
    <w:rsid w:val="008F5FF9"/>
    <w:rsid w:val="008F7E41"/>
    <w:rsid w:val="00943B03"/>
    <w:rsid w:val="00991318"/>
    <w:rsid w:val="009E1A0E"/>
    <w:rsid w:val="00A359A7"/>
    <w:rsid w:val="00A579C0"/>
    <w:rsid w:val="00A6100E"/>
    <w:rsid w:val="00A666A4"/>
    <w:rsid w:val="00A9676C"/>
    <w:rsid w:val="00AD3B69"/>
    <w:rsid w:val="00AE6D81"/>
    <w:rsid w:val="00B93249"/>
    <w:rsid w:val="00BD52BD"/>
    <w:rsid w:val="00BF254F"/>
    <w:rsid w:val="00BF784A"/>
    <w:rsid w:val="00C304B8"/>
    <w:rsid w:val="00C82A1C"/>
    <w:rsid w:val="00C9353B"/>
    <w:rsid w:val="00D807D1"/>
    <w:rsid w:val="00DB1B85"/>
    <w:rsid w:val="00DD57CA"/>
    <w:rsid w:val="00E031EF"/>
    <w:rsid w:val="00E1021B"/>
    <w:rsid w:val="00E77E09"/>
    <w:rsid w:val="00ED5BFC"/>
    <w:rsid w:val="00FC0388"/>
    <w:rsid w:val="00FD27F5"/>
    <w:rsid w:val="00FE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09668"/>
  <w15:chartTrackingRefBased/>
  <w15:docId w15:val="{21D983CF-6435-4547-B70D-BA53F0B2A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A5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93249"/>
    <w:pPr>
      <w:keepNext/>
      <w:keepLines/>
      <w:spacing w:before="240"/>
      <w:outlineLvl w:val="0"/>
    </w:pPr>
    <w:rPr>
      <w:rFonts w:eastAsiaTheme="majorEastAsia" w:cstheme="majorBidi"/>
      <w:b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B93249"/>
    <w:pPr>
      <w:keepNext/>
      <w:keepLines/>
      <w:spacing w:before="40"/>
      <w:outlineLvl w:val="1"/>
    </w:pPr>
    <w:rPr>
      <w:rFonts w:eastAsiaTheme="majorEastAsia" w:cstheme="majorBidi"/>
      <w:b/>
      <w:color w:val="2F5496" w:themeColor="accent1" w:themeShade="BF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32"/>
      <w:szCs w:val="32"/>
      <w:lang w:val="sk-SK" w:eastAsia="sk-SK"/>
    </w:rPr>
  </w:style>
  <w:style w:type="paragraph" w:styleId="Zkladntext">
    <w:name w:val="Body Text"/>
    <w:basedOn w:val="Normlny"/>
    <w:link w:val="ZkladntextChar"/>
    <w:rsid w:val="007A54FE"/>
    <w:rPr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7A54FE"/>
    <w:rPr>
      <w:rFonts w:ascii="Times New Roman" w:eastAsia="Times New Roman" w:hAnsi="Times New Roman" w:cs="Times New Roman"/>
      <w:sz w:val="24"/>
      <w:szCs w:val="20"/>
      <w:lang w:val="sk-SK"/>
    </w:rPr>
  </w:style>
  <w:style w:type="paragraph" w:styleId="Odsekzoznamu">
    <w:name w:val="List Paragraph"/>
    <w:basedOn w:val="Normlny"/>
    <w:uiPriority w:val="34"/>
    <w:qFormat/>
    <w:rsid w:val="007A54FE"/>
    <w:pPr>
      <w:widowControl w:val="0"/>
      <w:autoSpaceDE w:val="0"/>
      <w:autoSpaceDN w:val="0"/>
      <w:ind w:left="836" w:hanging="361"/>
    </w:pPr>
    <w:rPr>
      <w:sz w:val="22"/>
      <w:szCs w:val="22"/>
      <w:lang w:bidi="sk-SK"/>
    </w:rPr>
  </w:style>
  <w:style w:type="character" w:customStyle="1" w:styleId="Nadpis2Char">
    <w:name w:val="Nadpis 2 Char"/>
    <w:basedOn w:val="Predvolenpsmoodseku"/>
    <w:link w:val="Nadpis2"/>
    <w:uiPriority w:val="9"/>
    <w:rsid w:val="00B93249"/>
    <w:rPr>
      <w:rFonts w:ascii="Times New Roman" w:eastAsiaTheme="majorEastAsia" w:hAnsi="Times New Roman" w:cstheme="majorBidi"/>
      <w:b/>
      <w:color w:val="2F5496" w:themeColor="accent1" w:themeShade="BF"/>
      <w:sz w:val="24"/>
      <w:szCs w:val="26"/>
      <w:lang w:val="sk-SK" w:eastAsia="sk-SK"/>
    </w:rPr>
  </w:style>
  <w:style w:type="paragraph" w:customStyle="1" w:styleId="TableParagraph">
    <w:name w:val="Table Paragraph"/>
    <w:basedOn w:val="Normlny"/>
    <w:uiPriority w:val="1"/>
    <w:qFormat/>
    <w:rsid w:val="00AE6D81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sk-SK"/>
    </w:rPr>
  </w:style>
  <w:style w:type="character" w:styleId="Hypertextovprepojenie">
    <w:name w:val="Hyperlink"/>
    <w:basedOn w:val="Predvolenpsmoodseku"/>
    <w:uiPriority w:val="99"/>
    <w:unhideWhenUsed/>
    <w:rsid w:val="003C6919"/>
    <w:rPr>
      <w:color w:val="0000FF"/>
      <w:u w:val="single"/>
    </w:rPr>
  </w:style>
  <w:style w:type="character" w:customStyle="1" w:styleId="text-color-grey">
    <w:name w:val="text-color-grey"/>
    <w:basedOn w:val="Predvolenpsmoodseku"/>
    <w:rsid w:val="000E4729"/>
  </w:style>
  <w:style w:type="paragraph" w:styleId="Hlavika">
    <w:name w:val="header"/>
    <w:basedOn w:val="Normlny"/>
    <w:link w:val="Hlavik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unhideWhenUsed/>
    <w:rsid w:val="004865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86557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094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5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atpedu.sk/files/sk/metodicky-portal/metodicke-podnety/fg_odborne_texty_1_2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nedu.sk/17597-sk/narodny-standard-financnej-gramotnosti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atpedu.sk/files/articles/nove_dokumenty/aktuality/korupcia_namety-vyucovanie_dolozka.pd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atpedu.sk/files/sk/metodicky-portal/metodicke-podnety/fg_metodika_010920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ivam.sk/wp-content/uploads/2023/01/Metodicka-prirucka-pre-implementaciu-financnej-gramotnosti-do-vzdelavania-na-2.-stupni-zakladnych-skol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1484</Words>
  <Characters>8759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2</cp:revision>
  <dcterms:created xsi:type="dcterms:W3CDTF">2024-04-06T15:06:00Z</dcterms:created>
  <dcterms:modified xsi:type="dcterms:W3CDTF">2024-04-06T15:06:00Z</dcterms:modified>
</cp:coreProperties>
</file>